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A8E" w:rsidRDefault="00DE7A8E" w:rsidP="00DE7A8E">
      <w:pPr>
        <w:ind w:firstLine="6237"/>
      </w:pPr>
      <w:bookmarkStart w:id="0" w:name="_GoBack"/>
      <w:bookmarkEnd w:id="0"/>
      <w:proofErr w:type="spellStart"/>
      <w:r>
        <w:rPr>
          <w:szCs w:val="24"/>
          <w:lang w:val="en-US" w:eastAsia="lt-LT"/>
        </w:rPr>
        <w:t>Neformaliojo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vaikų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švietimo</w:t>
      </w:r>
      <w:proofErr w:type="spellEnd"/>
    </w:p>
    <w:p w:rsidR="00DE7A8E" w:rsidRDefault="00DE7A8E" w:rsidP="00DE7A8E">
      <w:pPr>
        <w:ind w:firstLine="6237"/>
      </w:pPr>
      <w:proofErr w:type="spellStart"/>
      <w:r>
        <w:rPr>
          <w:szCs w:val="24"/>
          <w:lang w:val="en-US" w:eastAsia="lt-LT"/>
        </w:rPr>
        <w:t>lėšų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skyrimo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ir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panaudojimo</w:t>
      </w:r>
      <w:proofErr w:type="spellEnd"/>
      <w:r>
        <w:rPr>
          <w:szCs w:val="24"/>
          <w:lang w:val="en-US" w:eastAsia="lt-LT"/>
        </w:rPr>
        <w:t xml:space="preserve"> </w:t>
      </w:r>
    </w:p>
    <w:p w:rsidR="00DE7A8E" w:rsidRDefault="00DE7A8E" w:rsidP="00DE7A8E">
      <w:pPr>
        <w:ind w:firstLine="6237"/>
      </w:pPr>
      <w:proofErr w:type="spellStart"/>
      <w:r>
        <w:rPr>
          <w:szCs w:val="24"/>
          <w:lang w:val="en-US" w:eastAsia="lt-LT"/>
        </w:rPr>
        <w:t>tvarkos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aprašo</w:t>
      </w:r>
      <w:proofErr w:type="spellEnd"/>
      <w:r>
        <w:rPr>
          <w:szCs w:val="24"/>
          <w:lang w:val="en-US" w:eastAsia="lt-LT"/>
        </w:rPr>
        <w:t xml:space="preserve">  </w:t>
      </w:r>
      <w:r>
        <w:rPr>
          <w:szCs w:val="24"/>
          <w:lang w:eastAsia="lt-LT"/>
        </w:rPr>
        <w:t>2 priedas</w:t>
      </w:r>
    </w:p>
    <w:p w:rsidR="00DE7A8E" w:rsidRDefault="00DE7A8E" w:rsidP="00DE7A8E">
      <w:pPr>
        <w:ind w:firstLine="62"/>
        <w:jc w:val="center"/>
        <w:rPr>
          <w:szCs w:val="24"/>
          <w:lang w:val="en-US" w:eastAsia="lt-LT"/>
        </w:rPr>
      </w:pPr>
    </w:p>
    <w:p w:rsidR="00DE7A8E" w:rsidRDefault="00DE7A8E" w:rsidP="00DE7A8E">
      <w:pPr>
        <w:jc w:val="center"/>
      </w:pPr>
      <w:r>
        <w:rPr>
          <w:b/>
          <w:bCs/>
          <w:caps/>
          <w:szCs w:val="24"/>
          <w:lang w:eastAsia="lt-LT"/>
        </w:rPr>
        <w:t xml:space="preserve">Neformaliojo vaikų ŠVIETIMO programOS atitikties reikalavimams </w:t>
      </w:r>
    </w:p>
    <w:p w:rsidR="00DE7A8E" w:rsidRDefault="00DE7A8E" w:rsidP="00DE7A8E">
      <w:pPr>
        <w:jc w:val="center"/>
      </w:pPr>
      <w:r>
        <w:rPr>
          <w:b/>
          <w:bCs/>
          <w:caps/>
          <w:szCs w:val="24"/>
          <w:lang w:eastAsia="lt-LT"/>
        </w:rPr>
        <w:t>VERTINIMO  FORMA</w:t>
      </w:r>
    </w:p>
    <w:p w:rsidR="00DE7A8E" w:rsidRDefault="00DE7A8E" w:rsidP="00DE7A8E">
      <w:pPr>
        <w:ind w:firstLine="62"/>
        <w:rPr>
          <w:szCs w:val="24"/>
          <w:lang w:val="en-US" w:eastAsia="lt-LT"/>
        </w:rPr>
      </w:pPr>
    </w:p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3905"/>
        <w:gridCol w:w="3514"/>
        <w:gridCol w:w="2219"/>
      </w:tblGrid>
      <w:tr w:rsidR="00DE7A8E" w:rsidTr="00490630">
        <w:trPr>
          <w:trHeight w:val="457"/>
        </w:trPr>
        <w:tc>
          <w:tcPr>
            <w:tcW w:w="3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7A8E" w:rsidRDefault="00DE7A8E" w:rsidP="00490630">
            <w:r>
              <w:rPr>
                <w:szCs w:val="24"/>
                <w:lang w:eastAsia="lt-LT"/>
              </w:rPr>
              <w:t>Neformaliojo vaikų švietimo programos (toliau – NVŠ programos) teikėjas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7A8E" w:rsidRDefault="00DE7A8E" w:rsidP="00490630">
            <w:r>
              <w:rPr>
                <w:szCs w:val="24"/>
                <w:lang w:eastAsia="lt-LT"/>
              </w:rPr>
              <w:t>NVŠ programos pavadinimas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7A8E" w:rsidRDefault="00DE7A8E" w:rsidP="00490630">
            <w:r>
              <w:rPr>
                <w:szCs w:val="24"/>
                <w:lang w:eastAsia="lt-LT"/>
              </w:rPr>
              <w:t>NVŠ programos kodas KTPRR</w:t>
            </w:r>
          </w:p>
        </w:tc>
      </w:tr>
      <w:tr w:rsidR="00DE7A8E" w:rsidTr="00490630">
        <w:trPr>
          <w:trHeight w:val="312"/>
        </w:trPr>
        <w:tc>
          <w:tcPr>
            <w:tcW w:w="3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7A8E" w:rsidRDefault="00DE7A8E" w:rsidP="00490630">
            <w:pPr>
              <w:ind w:firstLine="62"/>
              <w:rPr>
                <w:szCs w:val="24"/>
                <w:lang w:eastAsia="lt-LT"/>
              </w:rPr>
            </w:pPr>
          </w:p>
          <w:p w:rsidR="00DE7A8E" w:rsidRDefault="00DE7A8E" w:rsidP="00490630">
            <w:pPr>
              <w:ind w:firstLine="62"/>
              <w:rPr>
                <w:szCs w:val="24"/>
                <w:lang w:eastAsia="lt-LT"/>
              </w:rPr>
            </w:pPr>
          </w:p>
          <w:p w:rsidR="00DE7A8E" w:rsidRDefault="00DE7A8E" w:rsidP="00490630"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7A8E" w:rsidRDefault="00DE7A8E" w:rsidP="00490630"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7A8E" w:rsidRDefault="00DE7A8E" w:rsidP="00490630">
            <w:pPr>
              <w:ind w:firstLine="62"/>
              <w:rPr>
                <w:szCs w:val="24"/>
                <w:lang w:eastAsia="lt-LT"/>
              </w:rPr>
            </w:pPr>
          </w:p>
        </w:tc>
      </w:tr>
    </w:tbl>
    <w:p w:rsidR="00DE7A8E" w:rsidRDefault="00DE7A8E" w:rsidP="00DE7A8E">
      <w:pPr>
        <w:ind w:firstLine="186"/>
        <w:rPr>
          <w:szCs w:val="24"/>
          <w:lang w:val="en-US" w:eastAsia="lt-LT"/>
        </w:rPr>
      </w:pPr>
    </w:p>
    <w:tbl>
      <w:tblPr>
        <w:tblW w:w="0" w:type="auto"/>
        <w:tblInd w:w="86" w:type="dxa"/>
        <w:tblLayout w:type="fixed"/>
        <w:tblLook w:val="0000" w:firstRow="0" w:lastRow="0" w:firstColumn="0" w:lastColumn="0" w:noHBand="0" w:noVBand="0"/>
      </w:tblPr>
      <w:tblGrid>
        <w:gridCol w:w="2419"/>
        <w:gridCol w:w="1953"/>
        <w:gridCol w:w="3805"/>
        <w:gridCol w:w="1460"/>
      </w:tblGrid>
      <w:tr w:rsidR="00DE7A8E" w:rsidTr="00490630">
        <w:trPr>
          <w:trHeight w:val="518"/>
        </w:trPr>
        <w:tc>
          <w:tcPr>
            <w:tcW w:w="2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jc w:val="center"/>
            </w:pPr>
            <w:r>
              <w:rPr>
                <w:szCs w:val="24"/>
                <w:lang w:eastAsia="lt-LT"/>
              </w:rPr>
              <w:t>Vertinimo kriterijus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ind w:left="34"/>
              <w:jc w:val="center"/>
            </w:pPr>
            <w:r>
              <w:rPr>
                <w:szCs w:val="24"/>
                <w:lang w:eastAsia="lt-LT"/>
              </w:rPr>
              <w:t xml:space="preserve">Kriterijaus </w:t>
            </w:r>
          </w:p>
          <w:p w:rsidR="00DE7A8E" w:rsidRDefault="00DE7A8E" w:rsidP="00490630">
            <w:pPr>
              <w:ind w:left="34"/>
              <w:jc w:val="center"/>
            </w:pPr>
            <w:r>
              <w:rPr>
                <w:szCs w:val="24"/>
                <w:lang w:eastAsia="lt-LT"/>
              </w:rPr>
              <w:t>rodiklis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jc w:val="center"/>
            </w:pPr>
            <w:r>
              <w:rPr>
                <w:szCs w:val="24"/>
                <w:lang w:eastAsia="lt-LT"/>
              </w:rPr>
              <w:t>Apibūdinimas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7A8E" w:rsidRDefault="00DE7A8E" w:rsidP="00490630">
            <w:pPr>
              <w:jc w:val="center"/>
            </w:pPr>
            <w:r>
              <w:rPr>
                <w:szCs w:val="24"/>
                <w:lang w:eastAsia="lt-LT"/>
              </w:rPr>
              <w:t xml:space="preserve">Vertinimas </w:t>
            </w:r>
          </w:p>
          <w:p w:rsidR="00DE7A8E" w:rsidRDefault="00DE7A8E" w:rsidP="00490630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 w:rsidR="00DE7A8E" w:rsidTr="00490630">
        <w:trPr>
          <w:trHeight w:val="515"/>
        </w:trPr>
        <w:tc>
          <w:tcPr>
            <w:tcW w:w="24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ind w:left="317" w:hanging="317"/>
            </w:pPr>
            <w:r>
              <w:rPr>
                <w:szCs w:val="24"/>
                <w:lang w:eastAsia="lt-LT"/>
              </w:rPr>
              <w:t xml:space="preserve">1. NVŠ programos tikslingumas 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ind w:left="175" w:hanging="139"/>
            </w:pPr>
            <w:r>
              <w:rPr>
                <w:szCs w:val="24"/>
                <w:lang w:eastAsia="lt-LT"/>
              </w:rPr>
              <w:t>1.1. Prioritetai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Programa atitinka savivaldybės nustatytus prioritetus, jei tokie yra.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7A8E" w:rsidRDefault="00DE7A8E" w:rsidP="00490630">
            <w:pPr>
              <w:ind w:left="234" w:firstLine="62"/>
              <w:rPr>
                <w:szCs w:val="24"/>
                <w:lang w:eastAsia="lt-LT"/>
              </w:rPr>
            </w:pPr>
          </w:p>
        </w:tc>
      </w:tr>
      <w:tr w:rsidR="00DE7A8E" w:rsidTr="00490630">
        <w:trPr>
          <w:trHeight w:val="815"/>
        </w:trPr>
        <w:tc>
          <w:tcPr>
            <w:tcW w:w="2419" w:type="dxa"/>
            <w:vMerge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rPr>
                <w:szCs w:val="24"/>
                <w:lang w:eastAsia="lt-LT"/>
              </w:rPr>
            </w:pPr>
          </w:p>
        </w:tc>
        <w:tc>
          <w:tcPr>
            <w:tcW w:w="1953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 xml:space="preserve">1.2. Principai </w:t>
            </w:r>
          </w:p>
        </w:tc>
        <w:tc>
          <w:tcPr>
            <w:tcW w:w="3805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Teikėjas deklaruoja, kad, vykdant programą, bus vadovaujamasi NVŠ principais.</w:t>
            </w:r>
          </w:p>
        </w:tc>
        <w:tc>
          <w:tcPr>
            <w:tcW w:w="1460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DE7A8E" w:rsidRDefault="00DE7A8E" w:rsidP="00490630">
            <w:pPr>
              <w:ind w:left="234" w:firstLine="62"/>
              <w:rPr>
                <w:szCs w:val="24"/>
                <w:lang w:eastAsia="lt-LT"/>
              </w:rPr>
            </w:pPr>
          </w:p>
        </w:tc>
      </w:tr>
      <w:tr w:rsidR="00DE7A8E" w:rsidTr="00490630">
        <w:trPr>
          <w:trHeight w:val="908"/>
        </w:trPr>
        <w:tc>
          <w:tcPr>
            <w:tcW w:w="2419" w:type="dxa"/>
            <w:vMerge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rPr>
                <w:szCs w:val="24"/>
                <w:lang w:eastAsia="lt-LT"/>
              </w:rPr>
            </w:pPr>
          </w:p>
        </w:tc>
        <w:tc>
          <w:tcPr>
            <w:tcW w:w="195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1.3. Tikslas</w:t>
            </w:r>
          </w:p>
        </w:tc>
        <w:tc>
          <w:tcPr>
            <w:tcW w:w="380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 xml:space="preserve">NVŠ programos tikslas formuluojamas aiškiai, atliepia programos visumą ir pagrindinę ugdomą kompetenciją. </w:t>
            </w:r>
          </w:p>
        </w:tc>
        <w:tc>
          <w:tcPr>
            <w:tcW w:w="146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DE7A8E" w:rsidRDefault="00DE7A8E" w:rsidP="00490630">
            <w:pPr>
              <w:ind w:left="234" w:firstLine="62"/>
              <w:rPr>
                <w:szCs w:val="24"/>
                <w:lang w:eastAsia="lt-LT"/>
              </w:rPr>
            </w:pPr>
          </w:p>
        </w:tc>
      </w:tr>
      <w:tr w:rsidR="00DE7A8E" w:rsidTr="00490630">
        <w:trPr>
          <w:trHeight w:val="529"/>
        </w:trPr>
        <w:tc>
          <w:tcPr>
            <w:tcW w:w="2419" w:type="dxa"/>
            <w:vMerge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rPr>
                <w:szCs w:val="24"/>
                <w:lang w:eastAsia="lt-LT"/>
              </w:rPr>
            </w:pPr>
          </w:p>
        </w:tc>
        <w:tc>
          <w:tcPr>
            <w:tcW w:w="1953" w:type="dxa"/>
            <w:vMerge w:val="restart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1.4. Uždaviniai</w:t>
            </w:r>
          </w:p>
        </w:tc>
        <w:tc>
          <w:tcPr>
            <w:tcW w:w="380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 xml:space="preserve">Uždaviniai konkretūs, atspindintys siekiamą rezultatą. </w:t>
            </w:r>
          </w:p>
        </w:tc>
        <w:tc>
          <w:tcPr>
            <w:tcW w:w="146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DE7A8E" w:rsidRDefault="00DE7A8E" w:rsidP="00490630">
            <w:pPr>
              <w:ind w:left="234" w:firstLine="62"/>
              <w:rPr>
                <w:szCs w:val="24"/>
                <w:lang w:eastAsia="lt-LT"/>
              </w:rPr>
            </w:pPr>
          </w:p>
        </w:tc>
      </w:tr>
      <w:tr w:rsidR="00DE7A8E" w:rsidTr="00490630">
        <w:trPr>
          <w:trHeight w:val="1117"/>
        </w:trPr>
        <w:tc>
          <w:tcPr>
            <w:tcW w:w="2419" w:type="dxa"/>
            <w:vMerge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rPr>
                <w:szCs w:val="24"/>
                <w:lang w:eastAsia="lt-LT"/>
              </w:rPr>
            </w:pPr>
          </w:p>
        </w:tc>
        <w:tc>
          <w:tcPr>
            <w:tcW w:w="1953" w:type="dxa"/>
            <w:vMerge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rPr>
                <w:szCs w:val="24"/>
                <w:lang w:eastAsia="lt-LT"/>
              </w:rPr>
            </w:pPr>
          </w:p>
        </w:tc>
        <w:tc>
          <w:tcPr>
            <w:tcW w:w="380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Teikėjas patvirtina, kad programos uždaviniai atitinka paraiškoje pateiktus bendruosius NVŠ programos uždavinius.</w:t>
            </w:r>
          </w:p>
        </w:tc>
        <w:tc>
          <w:tcPr>
            <w:tcW w:w="146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DE7A8E" w:rsidRDefault="00DE7A8E" w:rsidP="00490630">
            <w:pPr>
              <w:ind w:left="234" w:firstLine="62"/>
              <w:rPr>
                <w:szCs w:val="24"/>
                <w:lang w:eastAsia="lt-LT"/>
              </w:rPr>
            </w:pPr>
          </w:p>
        </w:tc>
      </w:tr>
      <w:tr w:rsidR="00DE7A8E" w:rsidTr="00490630">
        <w:trPr>
          <w:trHeight w:val="1601"/>
        </w:trPr>
        <w:tc>
          <w:tcPr>
            <w:tcW w:w="2419" w:type="dxa"/>
            <w:vMerge w:val="restart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ind w:left="360" w:hanging="360"/>
            </w:pPr>
            <w:r>
              <w:rPr>
                <w:szCs w:val="24"/>
                <w:lang w:eastAsia="lt-LT"/>
              </w:rPr>
              <w:t>2. Ugdymo turinys</w:t>
            </w:r>
          </w:p>
        </w:tc>
        <w:tc>
          <w:tcPr>
            <w:tcW w:w="195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ind w:left="34"/>
            </w:pPr>
            <w:r>
              <w:rPr>
                <w:szCs w:val="24"/>
                <w:lang w:eastAsia="lt-LT"/>
              </w:rPr>
              <w:t>2.1. Temos ir veiklos</w:t>
            </w:r>
          </w:p>
        </w:tc>
        <w:tc>
          <w:tcPr>
            <w:tcW w:w="380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NVŠ programos sudėtinės dalys (temos) ir jas atskleisianti veikla siejasi su programos uždaviniais. Veiklų pobūdis ir trukmė subalansuoti (teorija ir praktika; fizinis aktyvumas ir protinė veikla, dvasinis tobulėjimas).</w:t>
            </w:r>
          </w:p>
        </w:tc>
        <w:tc>
          <w:tcPr>
            <w:tcW w:w="146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DE7A8E" w:rsidRDefault="00DE7A8E" w:rsidP="00490630">
            <w:pPr>
              <w:ind w:left="234" w:firstLine="62"/>
              <w:rPr>
                <w:szCs w:val="24"/>
                <w:lang w:eastAsia="lt-LT"/>
              </w:rPr>
            </w:pPr>
          </w:p>
        </w:tc>
      </w:tr>
      <w:tr w:rsidR="00DE7A8E" w:rsidTr="00490630">
        <w:trPr>
          <w:trHeight w:val="841"/>
        </w:trPr>
        <w:tc>
          <w:tcPr>
            <w:tcW w:w="2419" w:type="dxa"/>
            <w:vMerge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rPr>
                <w:szCs w:val="24"/>
                <w:lang w:eastAsia="lt-LT"/>
              </w:rPr>
            </w:pPr>
          </w:p>
        </w:tc>
        <w:tc>
          <w:tcPr>
            <w:tcW w:w="195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2.2. Metodai</w:t>
            </w:r>
          </w:p>
        </w:tc>
        <w:tc>
          <w:tcPr>
            <w:tcW w:w="3805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Atitinka numatytas ugdyti kompetencijas ir dera su NVŠ principais.</w:t>
            </w:r>
          </w:p>
        </w:tc>
        <w:tc>
          <w:tcPr>
            <w:tcW w:w="1460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DE7A8E" w:rsidRDefault="00DE7A8E" w:rsidP="00490630">
            <w:pPr>
              <w:ind w:left="234" w:firstLine="62"/>
              <w:rPr>
                <w:szCs w:val="24"/>
                <w:lang w:eastAsia="lt-LT"/>
              </w:rPr>
            </w:pPr>
          </w:p>
        </w:tc>
      </w:tr>
      <w:tr w:rsidR="00DE7A8E" w:rsidTr="00490630">
        <w:trPr>
          <w:trHeight w:val="462"/>
        </w:trPr>
        <w:tc>
          <w:tcPr>
            <w:tcW w:w="2419" w:type="dxa"/>
            <w:vMerge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rPr>
                <w:szCs w:val="24"/>
                <w:lang w:eastAsia="lt-LT"/>
              </w:rPr>
            </w:pP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2.3. Ugdomos kompetencijos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Įvardytos bendrosios (asmeninės, socialinės, iniciatyvumo ir kūrybingumo, komunikavimo, pažinimo, mokėjimo mokytis) kompetencijos.</w:t>
            </w:r>
          </w:p>
          <w:p w:rsidR="00DE7A8E" w:rsidRDefault="00DE7A8E" w:rsidP="00490630">
            <w:r>
              <w:rPr>
                <w:szCs w:val="24"/>
                <w:lang w:eastAsia="lt-LT"/>
              </w:rPr>
              <w:t>Aiškiai suformuluotos dalykinės kompetencijos. Deklaruojamos kompetencijos dera su veiklų temomis ir pobūdžiu.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7A8E" w:rsidRDefault="00DE7A8E" w:rsidP="00490630">
            <w:pPr>
              <w:ind w:left="234" w:firstLine="62"/>
              <w:rPr>
                <w:szCs w:val="24"/>
                <w:lang w:eastAsia="lt-LT"/>
              </w:rPr>
            </w:pPr>
          </w:p>
        </w:tc>
      </w:tr>
      <w:tr w:rsidR="00DE7A8E" w:rsidTr="00490630">
        <w:trPr>
          <w:trHeight w:val="1404"/>
        </w:trPr>
        <w:tc>
          <w:tcPr>
            <w:tcW w:w="2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ind w:left="317" w:hanging="317"/>
            </w:pPr>
            <w:r>
              <w:rPr>
                <w:szCs w:val="24"/>
                <w:lang w:eastAsia="lt-LT"/>
              </w:rPr>
              <w:lastRenderedPageBreak/>
              <w:t>3. NVŠ programos apimtis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ind w:left="34" w:right="-250"/>
            </w:pPr>
            <w:r>
              <w:rPr>
                <w:szCs w:val="24"/>
                <w:lang w:eastAsia="lt-LT"/>
              </w:rPr>
              <w:t>Intensyvumas ir bendra trukmė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NVŠ programa nuosekli, orientuota į ilgalaikį ugdymą, veiklos neepizodinės, vykdoma mažiausia 2 pedagoginio darbo val. per savaitę, mažiausia 8 pedagoginio darbo val. per mėnesį.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7A8E" w:rsidRDefault="00DE7A8E" w:rsidP="00490630">
            <w:pPr>
              <w:ind w:left="234" w:firstLine="62"/>
              <w:rPr>
                <w:szCs w:val="24"/>
                <w:lang w:eastAsia="lt-LT"/>
              </w:rPr>
            </w:pPr>
          </w:p>
        </w:tc>
      </w:tr>
      <w:tr w:rsidR="00DE7A8E" w:rsidTr="00490630">
        <w:trPr>
          <w:trHeight w:val="515"/>
        </w:trPr>
        <w:tc>
          <w:tcPr>
            <w:tcW w:w="2419" w:type="dxa"/>
            <w:vMerge w:val="restart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ind w:left="317" w:hanging="317"/>
            </w:pPr>
            <w:r>
              <w:rPr>
                <w:szCs w:val="24"/>
                <w:lang w:eastAsia="lt-LT"/>
              </w:rPr>
              <w:t>4. Informacija apie vaikus</w:t>
            </w:r>
          </w:p>
        </w:tc>
        <w:tc>
          <w:tcPr>
            <w:tcW w:w="1953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ind w:firstLine="34"/>
            </w:pPr>
            <w:r>
              <w:rPr>
                <w:szCs w:val="24"/>
                <w:lang w:eastAsia="lt-LT"/>
              </w:rPr>
              <w:t>4.1. Vaikų amžius</w:t>
            </w:r>
          </w:p>
        </w:tc>
        <w:tc>
          <w:tcPr>
            <w:tcW w:w="3805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Teikėjas numato, kokiai tikslinei grupei skiriama programa.</w:t>
            </w:r>
          </w:p>
        </w:tc>
        <w:tc>
          <w:tcPr>
            <w:tcW w:w="1460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DE7A8E" w:rsidRDefault="00DE7A8E" w:rsidP="00490630">
            <w:pPr>
              <w:ind w:left="234" w:firstLine="62"/>
              <w:rPr>
                <w:szCs w:val="24"/>
                <w:lang w:eastAsia="lt-LT"/>
              </w:rPr>
            </w:pPr>
          </w:p>
        </w:tc>
      </w:tr>
      <w:tr w:rsidR="00DE7A8E" w:rsidTr="00490630">
        <w:trPr>
          <w:trHeight w:val="1034"/>
        </w:trPr>
        <w:tc>
          <w:tcPr>
            <w:tcW w:w="2419" w:type="dxa"/>
            <w:vMerge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rPr>
                <w:szCs w:val="24"/>
                <w:lang w:eastAsia="lt-LT"/>
              </w:rPr>
            </w:pPr>
          </w:p>
        </w:tc>
        <w:tc>
          <w:tcPr>
            <w:tcW w:w="195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4.2. Grupės dydis</w:t>
            </w:r>
          </w:p>
        </w:tc>
        <w:tc>
          <w:tcPr>
            <w:tcW w:w="380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Numatomas grupės dydis atitinka veiklos metodus ir padeda pasiekti geriausią rezultatą.</w:t>
            </w:r>
          </w:p>
        </w:tc>
        <w:tc>
          <w:tcPr>
            <w:tcW w:w="146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DE7A8E" w:rsidRDefault="00DE7A8E" w:rsidP="00490630">
            <w:pPr>
              <w:ind w:left="234" w:firstLine="62"/>
              <w:rPr>
                <w:szCs w:val="24"/>
                <w:lang w:eastAsia="lt-LT"/>
              </w:rPr>
            </w:pPr>
          </w:p>
        </w:tc>
      </w:tr>
      <w:tr w:rsidR="00DE7A8E" w:rsidTr="00490630">
        <w:trPr>
          <w:trHeight w:val="840"/>
        </w:trPr>
        <w:tc>
          <w:tcPr>
            <w:tcW w:w="2419" w:type="dxa"/>
            <w:vMerge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rPr>
                <w:szCs w:val="24"/>
                <w:lang w:eastAsia="lt-LT"/>
              </w:rPr>
            </w:pPr>
          </w:p>
        </w:tc>
        <w:tc>
          <w:tcPr>
            <w:tcW w:w="195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4.3. Galimybės vaikų iniciatyvai</w:t>
            </w:r>
          </w:p>
        </w:tc>
        <w:tc>
          <w:tcPr>
            <w:tcW w:w="380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Numatyta galimybė atsiskleisti iniciatyvai, priimti sprendimus, pasirinkti ugdymo metodus, koreguoti turinį ir pan.</w:t>
            </w:r>
          </w:p>
        </w:tc>
        <w:tc>
          <w:tcPr>
            <w:tcW w:w="146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DE7A8E" w:rsidRDefault="00DE7A8E" w:rsidP="00490630">
            <w:pPr>
              <w:ind w:left="234" w:firstLine="62"/>
              <w:rPr>
                <w:szCs w:val="24"/>
                <w:lang w:eastAsia="lt-LT"/>
              </w:rPr>
            </w:pPr>
          </w:p>
        </w:tc>
      </w:tr>
      <w:tr w:rsidR="00DE7A8E" w:rsidTr="00490630">
        <w:trPr>
          <w:trHeight w:val="659"/>
        </w:trPr>
        <w:tc>
          <w:tcPr>
            <w:tcW w:w="2419" w:type="dxa"/>
            <w:vMerge w:val="restart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ind w:left="317" w:hanging="317"/>
            </w:pPr>
            <w:r>
              <w:rPr>
                <w:szCs w:val="24"/>
                <w:lang w:eastAsia="lt-LT"/>
              </w:rPr>
              <w:t xml:space="preserve">5. Pažangos skatinimas ir vertinimas </w:t>
            </w:r>
          </w:p>
        </w:tc>
        <w:tc>
          <w:tcPr>
            <w:tcW w:w="195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ind w:firstLine="34"/>
            </w:pPr>
            <w:r>
              <w:rPr>
                <w:szCs w:val="24"/>
                <w:lang w:eastAsia="lt-LT"/>
              </w:rPr>
              <w:t>5.1. Pažangos skatinimas</w:t>
            </w:r>
          </w:p>
        </w:tc>
        <w:tc>
          <w:tcPr>
            <w:tcW w:w="380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Aprašyta, kokiais būdais vaikai bus motyvuojami dalyvauti programoje ir siekti pažangos.</w:t>
            </w:r>
          </w:p>
        </w:tc>
        <w:tc>
          <w:tcPr>
            <w:tcW w:w="146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DE7A8E" w:rsidRDefault="00DE7A8E" w:rsidP="00490630">
            <w:pPr>
              <w:ind w:left="234" w:firstLine="62"/>
              <w:rPr>
                <w:szCs w:val="24"/>
                <w:lang w:eastAsia="lt-LT"/>
              </w:rPr>
            </w:pPr>
          </w:p>
        </w:tc>
      </w:tr>
      <w:tr w:rsidR="00DE7A8E" w:rsidTr="00490630">
        <w:trPr>
          <w:trHeight w:val="671"/>
        </w:trPr>
        <w:tc>
          <w:tcPr>
            <w:tcW w:w="241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rPr>
                <w:szCs w:val="24"/>
                <w:lang w:eastAsia="lt-LT"/>
              </w:rPr>
            </w:pPr>
          </w:p>
        </w:tc>
        <w:tc>
          <w:tcPr>
            <w:tcW w:w="195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5.2. Pažangos vertinimas (įsivertinimas)</w:t>
            </w:r>
          </w:p>
        </w:tc>
        <w:tc>
          <w:tcPr>
            <w:tcW w:w="380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Numatytas vaikų pažangos vertinimas, dalyvavimas įsivertinime.</w:t>
            </w:r>
          </w:p>
        </w:tc>
        <w:tc>
          <w:tcPr>
            <w:tcW w:w="146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DE7A8E" w:rsidRDefault="00DE7A8E" w:rsidP="00490630">
            <w:pPr>
              <w:ind w:left="234" w:firstLine="62"/>
              <w:rPr>
                <w:szCs w:val="24"/>
                <w:lang w:eastAsia="lt-LT"/>
              </w:rPr>
            </w:pPr>
          </w:p>
        </w:tc>
      </w:tr>
      <w:tr w:rsidR="00DE7A8E" w:rsidTr="00490630">
        <w:trPr>
          <w:trHeight w:val="797"/>
        </w:trPr>
        <w:tc>
          <w:tcPr>
            <w:tcW w:w="241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rPr>
                <w:szCs w:val="24"/>
                <w:lang w:eastAsia="lt-LT"/>
              </w:rPr>
            </w:pPr>
          </w:p>
        </w:tc>
        <w:tc>
          <w:tcPr>
            <w:tcW w:w="195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5.3. Pasiekimų paliudijimas</w:t>
            </w:r>
          </w:p>
        </w:tc>
        <w:tc>
          <w:tcPr>
            <w:tcW w:w="380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Numatyta, kokiais būdais bus pažymimi pasiekimai, įgytos kompetencijos ir kokiomis priemonėmis jie galės būti paliudyti.</w:t>
            </w:r>
          </w:p>
        </w:tc>
        <w:tc>
          <w:tcPr>
            <w:tcW w:w="146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DE7A8E" w:rsidRDefault="00DE7A8E" w:rsidP="00490630">
            <w:pPr>
              <w:ind w:left="234" w:firstLine="62"/>
              <w:rPr>
                <w:szCs w:val="24"/>
                <w:lang w:eastAsia="lt-LT"/>
              </w:rPr>
            </w:pPr>
          </w:p>
        </w:tc>
      </w:tr>
      <w:tr w:rsidR="00DE7A8E" w:rsidTr="00490630">
        <w:trPr>
          <w:trHeight w:val="1094"/>
        </w:trPr>
        <w:tc>
          <w:tcPr>
            <w:tcW w:w="2419" w:type="dxa"/>
            <w:vMerge w:val="restart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ind w:left="317" w:hanging="317"/>
            </w:pPr>
            <w:r>
              <w:rPr>
                <w:szCs w:val="24"/>
                <w:lang w:eastAsia="lt-LT"/>
              </w:rPr>
              <w:t>6. Kokybė ir atsakomybė</w:t>
            </w:r>
          </w:p>
        </w:tc>
        <w:tc>
          <w:tcPr>
            <w:tcW w:w="1953" w:type="dxa"/>
            <w:vMerge w:val="restart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ind w:right="13" w:firstLine="33"/>
            </w:pPr>
            <w:r>
              <w:rPr>
                <w:szCs w:val="24"/>
                <w:lang w:eastAsia="lt-LT"/>
              </w:rPr>
              <w:t>6.1. NVŠ mokytojų kvalifikacija</w:t>
            </w:r>
          </w:p>
        </w:tc>
        <w:tc>
          <w:tcPr>
            <w:tcW w:w="380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Programą įgyvendinančių NVŠ mokytojų išsilavinimas, patirtis ir kvalifikacija tinkami sėkmingam programos įgyvendinimui.</w:t>
            </w:r>
          </w:p>
        </w:tc>
        <w:tc>
          <w:tcPr>
            <w:tcW w:w="146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DE7A8E" w:rsidRDefault="00DE7A8E" w:rsidP="00490630">
            <w:pPr>
              <w:ind w:left="234" w:firstLine="62"/>
              <w:rPr>
                <w:szCs w:val="24"/>
                <w:lang w:eastAsia="lt-LT"/>
              </w:rPr>
            </w:pPr>
          </w:p>
        </w:tc>
      </w:tr>
      <w:tr w:rsidR="00DE7A8E" w:rsidTr="00490630">
        <w:trPr>
          <w:trHeight w:val="276"/>
        </w:trPr>
        <w:tc>
          <w:tcPr>
            <w:tcW w:w="241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rPr>
                <w:szCs w:val="24"/>
                <w:lang w:eastAsia="lt-LT"/>
              </w:rPr>
            </w:pPr>
          </w:p>
        </w:tc>
        <w:tc>
          <w:tcPr>
            <w:tcW w:w="1953" w:type="dxa"/>
            <w:vMerge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rPr>
                <w:szCs w:val="24"/>
                <w:lang w:eastAsia="lt-LT"/>
              </w:rPr>
            </w:pPr>
          </w:p>
        </w:tc>
        <w:tc>
          <w:tcPr>
            <w:tcW w:w="380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Teikėjas deklaruoja, kad programą įgyvendins asmenys, pagal Švietimo įstatymą turintys teisę dirbti NVŠ mokytojais.</w:t>
            </w:r>
          </w:p>
        </w:tc>
        <w:tc>
          <w:tcPr>
            <w:tcW w:w="146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DE7A8E" w:rsidRDefault="00DE7A8E" w:rsidP="00490630">
            <w:pPr>
              <w:ind w:left="234" w:firstLine="62"/>
              <w:rPr>
                <w:szCs w:val="24"/>
                <w:lang w:eastAsia="lt-LT"/>
              </w:rPr>
            </w:pPr>
          </w:p>
        </w:tc>
      </w:tr>
      <w:tr w:rsidR="00DE7A8E" w:rsidTr="00490630">
        <w:trPr>
          <w:trHeight w:val="1405"/>
        </w:trPr>
        <w:tc>
          <w:tcPr>
            <w:tcW w:w="241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rPr>
                <w:szCs w:val="24"/>
                <w:lang w:eastAsia="lt-LT"/>
              </w:rPr>
            </w:pPr>
          </w:p>
        </w:tc>
        <w:tc>
          <w:tcPr>
            <w:tcW w:w="195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ind w:left="175" w:hanging="141"/>
            </w:pPr>
            <w:r>
              <w:rPr>
                <w:szCs w:val="24"/>
                <w:lang w:eastAsia="lt-LT"/>
              </w:rPr>
              <w:t>6.2. Mokymosi aplinka</w:t>
            </w:r>
          </w:p>
        </w:tc>
        <w:tc>
          <w:tcPr>
            <w:tcW w:w="380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Teikėjas deklaruoja, kad vaikai ugdysis sveikoje ir saugioje mokymo(</w:t>
            </w:r>
            <w:proofErr w:type="spellStart"/>
            <w:r>
              <w:rPr>
                <w:szCs w:val="24"/>
                <w:lang w:eastAsia="lt-LT"/>
              </w:rPr>
              <w:t>si</w:t>
            </w:r>
            <w:proofErr w:type="spellEnd"/>
            <w:r>
              <w:rPr>
                <w:szCs w:val="24"/>
                <w:lang w:eastAsia="lt-LT"/>
              </w:rPr>
              <w:t>) aplinkoje ir kad turi tinkamos įrangos ir priemonių įgyvendinti NVŠ programą, turi lėšų NVŠ.</w:t>
            </w:r>
          </w:p>
        </w:tc>
        <w:tc>
          <w:tcPr>
            <w:tcW w:w="146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DE7A8E" w:rsidRDefault="00DE7A8E" w:rsidP="00490630">
            <w:pPr>
              <w:ind w:left="234" w:firstLine="62"/>
              <w:rPr>
                <w:szCs w:val="24"/>
                <w:lang w:eastAsia="lt-LT"/>
              </w:rPr>
            </w:pPr>
          </w:p>
        </w:tc>
      </w:tr>
      <w:tr w:rsidR="00DE7A8E" w:rsidTr="00490630">
        <w:trPr>
          <w:trHeight w:val="1634"/>
        </w:trPr>
        <w:tc>
          <w:tcPr>
            <w:tcW w:w="241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rPr>
                <w:szCs w:val="24"/>
                <w:lang w:eastAsia="lt-LT"/>
              </w:rPr>
            </w:pPr>
          </w:p>
        </w:tc>
        <w:tc>
          <w:tcPr>
            <w:tcW w:w="1953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6.3. Kitos teikėjo atsakomybės</w:t>
            </w:r>
          </w:p>
        </w:tc>
        <w:tc>
          <w:tcPr>
            <w:tcW w:w="3805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r>
              <w:rPr>
                <w:szCs w:val="24"/>
                <w:lang w:eastAsia="lt-LT"/>
              </w:rPr>
              <w:t>Teikėjas deklaruoja, kad turi lėšų NVŠ programos įgyvendinimo pradžiai ir kad, vykdant programą, bus laikomasi Neformaliojo vaikų švietimo programos atitikties reikalavimams paraiškos formos nuostatų.</w:t>
            </w:r>
          </w:p>
        </w:tc>
        <w:tc>
          <w:tcPr>
            <w:tcW w:w="1460" w:type="dxa"/>
            <w:vMerge w:val="restart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DE7A8E" w:rsidRDefault="00DE7A8E" w:rsidP="00490630">
            <w:pPr>
              <w:rPr>
                <w:szCs w:val="24"/>
                <w:lang w:eastAsia="lt-LT"/>
              </w:rPr>
            </w:pPr>
          </w:p>
        </w:tc>
      </w:tr>
      <w:tr w:rsidR="00DE7A8E" w:rsidTr="00490630">
        <w:tblPrEx>
          <w:tblCellMar>
            <w:left w:w="22" w:type="dxa"/>
            <w:right w:w="0" w:type="dxa"/>
          </w:tblCellMar>
        </w:tblPrEx>
        <w:trPr>
          <w:trHeight w:val="43"/>
        </w:trPr>
        <w:tc>
          <w:tcPr>
            <w:tcW w:w="241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rPr>
                <w:szCs w:val="24"/>
                <w:lang w:eastAsia="lt-LT"/>
              </w:rPr>
            </w:pPr>
          </w:p>
        </w:tc>
        <w:tc>
          <w:tcPr>
            <w:tcW w:w="5757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rPr>
                <w:sz w:val="20"/>
                <w:lang w:val="en-US"/>
              </w:rPr>
            </w:pPr>
          </w:p>
        </w:tc>
        <w:tc>
          <w:tcPr>
            <w:tcW w:w="1461" w:type="dxa"/>
            <w:vMerge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E7A8E" w:rsidRDefault="00DE7A8E" w:rsidP="00490630">
            <w:pPr>
              <w:rPr>
                <w:szCs w:val="24"/>
                <w:lang w:eastAsia="lt-LT"/>
              </w:rPr>
            </w:pPr>
          </w:p>
        </w:tc>
      </w:tr>
    </w:tbl>
    <w:p w:rsidR="00DE7A8E" w:rsidRDefault="00DE7A8E" w:rsidP="00DE7A8E">
      <w:pPr>
        <w:ind w:firstLine="60"/>
        <w:rPr>
          <w:b/>
          <w:bCs/>
          <w:szCs w:val="24"/>
          <w:lang w:eastAsia="lt-LT"/>
        </w:rPr>
      </w:pPr>
    </w:p>
    <w:p w:rsidR="00DE7A8E" w:rsidRDefault="00DE7A8E" w:rsidP="00DE7A8E">
      <w:r>
        <w:rPr>
          <w:sz w:val="20"/>
          <w:lang w:eastAsia="lt-LT"/>
        </w:rPr>
        <w:t>(vertintojo vardas, pavardė)</w:t>
      </w:r>
      <w:r>
        <w:rPr>
          <w:szCs w:val="24"/>
          <w:lang w:val="en-US" w:eastAsia="lt-LT"/>
        </w:rPr>
        <w:t xml:space="preserve">                                                           </w:t>
      </w:r>
      <w:r>
        <w:rPr>
          <w:sz w:val="20"/>
          <w:lang w:eastAsia="lt-LT"/>
        </w:rPr>
        <w:t xml:space="preserve">                              (parašas)</w:t>
      </w:r>
    </w:p>
    <w:p w:rsidR="00982B2D" w:rsidRDefault="00982B2D"/>
    <w:sectPr w:rsidR="00982B2D" w:rsidSect="00DE7A8E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3C"/>
    <w:rsid w:val="0071753C"/>
    <w:rsid w:val="00982B2D"/>
    <w:rsid w:val="00DE7A8E"/>
    <w:rsid w:val="00E76826"/>
    <w:rsid w:val="00F9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6CB4F-9590-4A1B-83B4-1164F3F0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7A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9605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 w:val="0"/>
      <w:spacing w:before="480"/>
      <w:ind w:firstLine="7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u w:color="000000"/>
      <w:bdr w:val="nil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96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bdr w:val="nil"/>
      <w:lang w:eastAsia="lt-LT"/>
    </w:rPr>
  </w:style>
  <w:style w:type="paragraph" w:styleId="Betarp">
    <w:name w:val="No Spacing"/>
    <w:uiPriority w:val="1"/>
    <w:qFormat/>
    <w:rsid w:val="00F960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lt-LT"/>
    </w:rPr>
  </w:style>
  <w:style w:type="paragraph" w:styleId="Sraopastraipa">
    <w:name w:val="List Paragraph"/>
    <w:basedOn w:val="prastasis"/>
    <w:uiPriority w:val="34"/>
    <w:qFormat/>
    <w:rsid w:val="00F96053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ind w:left="720" w:firstLine="720"/>
      <w:contextualSpacing/>
    </w:pPr>
    <w:rPr>
      <w:rFonts w:ascii="Arial" w:eastAsia="Arial Unicode MS" w:hAnsi="Arial" w:cs="Arial Unicode MS"/>
      <w:color w:val="000000"/>
      <w:kern w:val="0"/>
      <w:sz w:val="20"/>
      <w:u w:color="000000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2160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Svietim_GM</dc:creator>
  <cp:keywords/>
  <dc:description/>
  <cp:lastModifiedBy>Info_GB</cp:lastModifiedBy>
  <cp:revision>2</cp:revision>
  <dcterms:created xsi:type="dcterms:W3CDTF">2019-04-30T08:09:00Z</dcterms:created>
  <dcterms:modified xsi:type="dcterms:W3CDTF">2019-04-30T08:09:00Z</dcterms:modified>
</cp:coreProperties>
</file>