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w:t>
      </w:r>
      <w:r w:rsidR="002C1994">
        <w:rPr>
          <w:rFonts w:ascii="Times New Roman" w:eastAsia="Times New Roman" w:hAnsi="Times New Roman"/>
          <w:sz w:val="24"/>
          <w:szCs w:val="24"/>
          <w:lang w:eastAsia="lt-LT"/>
        </w:rPr>
        <w:t>ų</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Verdainės</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Barzdūnų</w:t>
      </w:r>
      <w:proofErr w:type="spellEnd"/>
      <w:r w:rsidR="002C1994">
        <w:rPr>
          <w:rFonts w:ascii="Times New Roman" w:eastAsia="Times New Roman" w:hAnsi="Times New Roman"/>
          <w:sz w:val="24"/>
          <w:szCs w:val="24"/>
          <w:lang w:eastAsia="lt-LT"/>
        </w:rPr>
        <w:t xml:space="preserve"> k.</w:t>
      </w:r>
      <w:r w:rsidR="003B321F" w:rsidRPr="00170885">
        <w:rPr>
          <w:rFonts w:ascii="Times New Roman" w:eastAsia="Times New Roman" w:hAnsi="Times New Roman"/>
          <w:sz w:val="24"/>
          <w:szCs w:val="24"/>
          <w:lang w:eastAsia="lt-LT"/>
        </w:rPr>
        <w:t>),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Šiuo pirkimo etapu pirki</w:t>
      </w:r>
      <w:r w:rsidR="00B063AF">
        <w:rPr>
          <w:rFonts w:ascii="Times New Roman" w:eastAsia="Times New Roman" w:hAnsi="Times New Roman"/>
          <w:sz w:val="24"/>
          <w:szCs w:val="24"/>
          <w:lang w:eastAsia="lt-LT"/>
        </w:rPr>
        <w:t>mo objektas yra skaidomas į dvi</w:t>
      </w:r>
      <w:r w:rsidR="003B321F" w:rsidRPr="00D8544F">
        <w:rPr>
          <w:rFonts w:ascii="Times New Roman" w:eastAsia="Times New Roman" w:hAnsi="Times New Roman"/>
          <w:sz w:val="24"/>
          <w:szCs w:val="24"/>
          <w:lang w:eastAsia="lt-LT"/>
        </w:rPr>
        <w:t xml:space="preserve">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2F787B">
        <w:rPr>
          <w:rFonts w:ascii="Times New Roman" w:eastAsia="Times New Roman" w:hAnsi="Times New Roman"/>
          <w:b/>
          <w:i/>
          <w:color w:val="000000"/>
          <w:sz w:val="24"/>
          <w:szCs w:val="24"/>
          <w:lang w:eastAsia="lt-LT"/>
        </w:rPr>
        <w:t xml:space="preserve"> 3</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2F787B">
        <w:rPr>
          <w:rFonts w:ascii="Times New Roman" w:eastAsia="Times New Roman" w:hAnsi="Times New Roman"/>
          <w:b/>
          <w:i/>
          <w:color w:val="000000"/>
          <w:sz w:val="24"/>
          <w:szCs w:val="24"/>
          <w:lang w:eastAsia="lt-LT"/>
        </w:rPr>
        <w:t>2</w:t>
      </w:r>
      <w:r w:rsidR="00DB76B6" w:rsidRPr="00577C41">
        <w:rPr>
          <w:rFonts w:ascii="Times New Roman" w:eastAsia="Times New Roman" w:hAnsi="Times New Roman"/>
          <w:b/>
          <w:i/>
          <w:color w:val="000000"/>
          <w:sz w:val="24"/>
          <w:szCs w:val="24"/>
          <w:lang w:eastAsia="lt-LT"/>
        </w:rPr>
        <w:t xml:space="preserve">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w:t>
      </w:r>
      <w:r w:rsidR="005F37A5" w:rsidRPr="002C7B1E">
        <w:rPr>
          <w:rFonts w:ascii="Times New Roman" w:eastAsia="Times New Roman" w:hAnsi="Times New Roman"/>
          <w:sz w:val="24"/>
          <w:szCs w:val="24"/>
          <w:lang w:eastAsia="lt-LT"/>
        </w:rPr>
        <w:lastRenderedPageBreak/>
        <w:t>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1A2E3D">
        <w:rPr>
          <w:rFonts w:ascii="Times New Roman" w:eastAsia="Times New Roman" w:hAnsi="Times New Roman"/>
          <w:b/>
          <w:color w:val="000000"/>
          <w:sz w:val="24"/>
          <w:szCs w:val="24"/>
          <w:lang w:eastAsia="lt-LT"/>
        </w:rPr>
        <w:t>2021 m. balandžio 22</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 xml:space="preserve">buvo gauti ar gauti pavėluotai. Jeigu kandidato pasiūlymas ir parduodamų </w:t>
      </w:r>
      <w:r w:rsidR="00007942" w:rsidRPr="00170885">
        <w:rPr>
          <w:rFonts w:ascii="Times New Roman" w:eastAsia="Times New Roman" w:hAnsi="Times New Roman"/>
          <w:sz w:val="24"/>
          <w:szCs w:val="24"/>
          <w:lang w:eastAsia="lt-LT"/>
        </w:rPr>
        <w:lastRenderedPageBreak/>
        <w:t>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317077">
        <w:rPr>
          <w:rFonts w:ascii="Times New Roman" w:eastAsia="Times New Roman" w:hAnsi="Times New Roman"/>
          <w:b/>
          <w:sz w:val="24"/>
          <w:szCs w:val="24"/>
        </w:rPr>
        <w:t>2021</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1A2E3D">
        <w:rPr>
          <w:rFonts w:ascii="Times New Roman" w:eastAsia="Times New Roman" w:hAnsi="Times New Roman"/>
          <w:b/>
          <w:sz w:val="24"/>
          <w:szCs w:val="24"/>
        </w:rPr>
        <w:t>balandžio 23</w:t>
      </w:r>
      <w:bookmarkStart w:id="6" w:name="_GoBack"/>
      <w:bookmarkEnd w:id="6"/>
      <w:r w:rsidR="00316F5F">
        <w:rPr>
          <w:rFonts w:ascii="Times New Roman" w:eastAsia="Times New Roman" w:hAnsi="Times New Roman"/>
          <w:b/>
          <w:sz w:val="24"/>
          <w:szCs w:val="24"/>
        </w:rPr>
        <w:t xml:space="preserve"> d. 1</w:t>
      </w:r>
      <w:r w:rsidR="00EB399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r w:rsidR="00B063AF">
        <w:rPr>
          <w:rFonts w:ascii="Times New Roman" w:eastAsia="Times New Roman" w:hAnsi="Times New Roman"/>
          <w:color w:val="000000"/>
          <w:sz w:val="24"/>
          <w:szCs w:val="24"/>
          <w:lang w:eastAsia="lt-LT"/>
        </w:rPr>
        <w:t>.</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w:t>
      </w:r>
      <w:r w:rsidR="00317077">
        <w:rPr>
          <w:rFonts w:ascii="Times New Roman" w:eastAsia="Times New Roman" w:hAnsi="Times New Roman"/>
          <w:sz w:val="24"/>
          <w:szCs w:val="24"/>
          <w:lang w:eastAsia="lt-LT"/>
        </w:rPr>
        <w:t xml:space="preserve">grupių (vieno ir dviejų </w:t>
      </w:r>
      <w:r w:rsidR="003B321F" w:rsidRPr="00170885">
        <w:rPr>
          <w:rFonts w:ascii="Times New Roman" w:eastAsia="Times New Roman" w:hAnsi="Times New Roman"/>
          <w:sz w:val="24"/>
          <w:szCs w:val="24"/>
          <w:lang w:eastAsia="lt-LT"/>
        </w:rPr>
        <w:t xml:space="preserve">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lastRenderedPageBreak/>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lastRenderedPageBreak/>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360" w:rsidRDefault="00092360" w:rsidP="002D211B">
      <w:pPr>
        <w:spacing w:after="0" w:line="240" w:lineRule="auto"/>
      </w:pPr>
      <w:r>
        <w:separator/>
      </w:r>
    </w:p>
  </w:endnote>
  <w:endnote w:type="continuationSeparator" w:id="0">
    <w:p w:rsidR="00092360" w:rsidRDefault="00092360"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alemona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360" w:rsidRDefault="00092360" w:rsidP="002D211B">
      <w:pPr>
        <w:spacing w:after="0" w:line="240" w:lineRule="auto"/>
      </w:pPr>
      <w:r>
        <w:separator/>
      </w:r>
    </w:p>
  </w:footnote>
  <w:footnote w:type="continuationSeparator" w:id="0">
    <w:p w:rsidR="00092360" w:rsidRDefault="00092360"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94" w:rsidRDefault="002C1994">
    <w:pPr>
      <w:pStyle w:val="Antrats"/>
      <w:jc w:val="center"/>
    </w:pPr>
    <w:r>
      <w:fldChar w:fldCharType="begin"/>
    </w:r>
    <w:r>
      <w:instrText>PAGE   \* MERGEFORMAT</w:instrText>
    </w:r>
    <w:r>
      <w:fldChar w:fldCharType="separate"/>
    </w:r>
    <w:r w:rsidR="001A2E3D">
      <w:rPr>
        <w:noProof/>
      </w:rPr>
      <w:t>6</w:t>
    </w:r>
    <w:r>
      <w:fldChar w:fldCharType="end"/>
    </w:r>
  </w:p>
  <w:p w:rsidR="002C1994" w:rsidRDefault="002C19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2360"/>
    <w:rsid w:val="00094952"/>
    <w:rsid w:val="000A50A4"/>
    <w:rsid w:val="000B231E"/>
    <w:rsid w:val="000C0E65"/>
    <w:rsid w:val="000C319C"/>
    <w:rsid w:val="000E599F"/>
    <w:rsid w:val="000E5FEE"/>
    <w:rsid w:val="000E60EF"/>
    <w:rsid w:val="00101616"/>
    <w:rsid w:val="00103923"/>
    <w:rsid w:val="00103D98"/>
    <w:rsid w:val="00107C14"/>
    <w:rsid w:val="00115CE5"/>
    <w:rsid w:val="00120530"/>
    <w:rsid w:val="00121852"/>
    <w:rsid w:val="00121C40"/>
    <w:rsid w:val="00123AF5"/>
    <w:rsid w:val="00134386"/>
    <w:rsid w:val="00135566"/>
    <w:rsid w:val="00141358"/>
    <w:rsid w:val="00146F21"/>
    <w:rsid w:val="00147EA2"/>
    <w:rsid w:val="001530BD"/>
    <w:rsid w:val="00156756"/>
    <w:rsid w:val="00164C32"/>
    <w:rsid w:val="00170885"/>
    <w:rsid w:val="001769BE"/>
    <w:rsid w:val="00196096"/>
    <w:rsid w:val="00197BBE"/>
    <w:rsid w:val="001A2E3D"/>
    <w:rsid w:val="001A49CB"/>
    <w:rsid w:val="001B2220"/>
    <w:rsid w:val="001B51D9"/>
    <w:rsid w:val="001C132A"/>
    <w:rsid w:val="001C6898"/>
    <w:rsid w:val="001D1B47"/>
    <w:rsid w:val="001D2454"/>
    <w:rsid w:val="001E0B83"/>
    <w:rsid w:val="001E3D34"/>
    <w:rsid w:val="001E64E8"/>
    <w:rsid w:val="001F3688"/>
    <w:rsid w:val="001F456C"/>
    <w:rsid w:val="00200A05"/>
    <w:rsid w:val="00201D28"/>
    <w:rsid w:val="00204B44"/>
    <w:rsid w:val="00205114"/>
    <w:rsid w:val="00207888"/>
    <w:rsid w:val="0021511F"/>
    <w:rsid w:val="0022507A"/>
    <w:rsid w:val="0022705D"/>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1994"/>
    <w:rsid w:val="002C5434"/>
    <w:rsid w:val="002C5D9E"/>
    <w:rsid w:val="002C7B1E"/>
    <w:rsid w:val="002D211B"/>
    <w:rsid w:val="002D58F9"/>
    <w:rsid w:val="002E08D7"/>
    <w:rsid w:val="002E5741"/>
    <w:rsid w:val="002E6D09"/>
    <w:rsid w:val="002F787B"/>
    <w:rsid w:val="00303BAD"/>
    <w:rsid w:val="00304503"/>
    <w:rsid w:val="00316F5F"/>
    <w:rsid w:val="00317077"/>
    <w:rsid w:val="00321920"/>
    <w:rsid w:val="003246C5"/>
    <w:rsid w:val="00326001"/>
    <w:rsid w:val="00334EF7"/>
    <w:rsid w:val="003359AD"/>
    <w:rsid w:val="00340287"/>
    <w:rsid w:val="00340E7B"/>
    <w:rsid w:val="003419E0"/>
    <w:rsid w:val="003478E4"/>
    <w:rsid w:val="00351CB5"/>
    <w:rsid w:val="003557B9"/>
    <w:rsid w:val="00387DC9"/>
    <w:rsid w:val="003B1A98"/>
    <w:rsid w:val="003B2191"/>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4D6"/>
    <w:rsid w:val="00417A2B"/>
    <w:rsid w:val="00420F47"/>
    <w:rsid w:val="00430AD9"/>
    <w:rsid w:val="00444B85"/>
    <w:rsid w:val="00447F2B"/>
    <w:rsid w:val="00452192"/>
    <w:rsid w:val="00455ADA"/>
    <w:rsid w:val="00457404"/>
    <w:rsid w:val="00461BA0"/>
    <w:rsid w:val="00474452"/>
    <w:rsid w:val="00477006"/>
    <w:rsid w:val="004870B3"/>
    <w:rsid w:val="00487CBC"/>
    <w:rsid w:val="004A2FB4"/>
    <w:rsid w:val="004A7CDE"/>
    <w:rsid w:val="004B0150"/>
    <w:rsid w:val="004B299A"/>
    <w:rsid w:val="004B42A0"/>
    <w:rsid w:val="004D2F23"/>
    <w:rsid w:val="004E0B74"/>
    <w:rsid w:val="004F3508"/>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95482"/>
    <w:rsid w:val="00597806"/>
    <w:rsid w:val="005A0B1A"/>
    <w:rsid w:val="005A0BCE"/>
    <w:rsid w:val="005A14BC"/>
    <w:rsid w:val="005A16F7"/>
    <w:rsid w:val="005A42CC"/>
    <w:rsid w:val="005A43AE"/>
    <w:rsid w:val="005A77AE"/>
    <w:rsid w:val="005B3F0E"/>
    <w:rsid w:val="005B6FD9"/>
    <w:rsid w:val="005C580A"/>
    <w:rsid w:val="005D22FA"/>
    <w:rsid w:val="005D3B0B"/>
    <w:rsid w:val="005E2730"/>
    <w:rsid w:val="005E526D"/>
    <w:rsid w:val="005F37A5"/>
    <w:rsid w:val="00600DE6"/>
    <w:rsid w:val="006058EC"/>
    <w:rsid w:val="00606E25"/>
    <w:rsid w:val="00607D42"/>
    <w:rsid w:val="00612C05"/>
    <w:rsid w:val="00623899"/>
    <w:rsid w:val="006246D0"/>
    <w:rsid w:val="0063010D"/>
    <w:rsid w:val="0063036A"/>
    <w:rsid w:val="00632FAF"/>
    <w:rsid w:val="00633D78"/>
    <w:rsid w:val="00634826"/>
    <w:rsid w:val="006358D4"/>
    <w:rsid w:val="00645423"/>
    <w:rsid w:val="00650773"/>
    <w:rsid w:val="006515C8"/>
    <w:rsid w:val="0065225E"/>
    <w:rsid w:val="0065378E"/>
    <w:rsid w:val="00662E07"/>
    <w:rsid w:val="00662EE5"/>
    <w:rsid w:val="0066409A"/>
    <w:rsid w:val="00671FD8"/>
    <w:rsid w:val="00676576"/>
    <w:rsid w:val="00681395"/>
    <w:rsid w:val="006A450C"/>
    <w:rsid w:val="006B1580"/>
    <w:rsid w:val="006C76F1"/>
    <w:rsid w:val="006D3689"/>
    <w:rsid w:val="006D4F4E"/>
    <w:rsid w:val="006D5389"/>
    <w:rsid w:val="006D7B35"/>
    <w:rsid w:val="006D7E08"/>
    <w:rsid w:val="006E686B"/>
    <w:rsid w:val="006F336B"/>
    <w:rsid w:val="006F5DD4"/>
    <w:rsid w:val="006F79FE"/>
    <w:rsid w:val="00700B4A"/>
    <w:rsid w:val="00711566"/>
    <w:rsid w:val="007147B9"/>
    <w:rsid w:val="007207C9"/>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059FA"/>
    <w:rsid w:val="00811A16"/>
    <w:rsid w:val="008143E4"/>
    <w:rsid w:val="00815C38"/>
    <w:rsid w:val="00820E0E"/>
    <w:rsid w:val="00825E16"/>
    <w:rsid w:val="00832BEF"/>
    <w:rsid w:val="00841E0C"/>
    <w:rsid w:val="0084201B"/>
    <w:rsid w:val="00845FD8"/>
    <w:rsid w:val="008508B0"/>
    <w:rsid w:val="008518C9"/>
    <w:rsid w:val="0086335B"/>
    <w:rsid w:val="008648A0"/>
    <w:rsid w:val="00867108"/>
    <w:rsid w:val="00876F12"/>
    <w:rsid w:val="00882B74"/>
    <w:rsid w:val="008855E1"/>
    <w:rsid w:val="00893B3B"/>
    <w:rsid w:val="008940F2"/>
    <w:rsid w:val="008A616C"/>
    <w:rsid w:val="008E7C5D"/>
    <w:rsid w:val="008F2EC9"/>
    <w:rsid w:val="008F73C5"/>
    <w:rsid w:val="00904185"/>
    <w:rsid w:val="00907D94"/>
    <w:rsid w:val="009110D8"/>
    <w:rsid w:val="00911A9F"/>
    <w:rsid w:val="00911E42"/>
    <w:rsid w:val="009133F5"/>
    <w:rsid w:val="0092342F"/>
    <w:rsid w:val="00923CD5"/>
    <w:rsid w:val="009368F6"/>
    <w:rsid w:val="00955532"/>
    <w:rsid w:val="00955BF2"/>
    <w:rsid w:val="009564BE"/>
    <w:rsid w:val="00962122"/>
    <w:rsid w:val="00962AC9"/>
    <w:rsid w:val="009630E8"/>
    <w:rsid w:val="00990176"/>
    <w:rsid w:val="009929EE"/>
    <w:rsid w:val="009967FF"/>
    <w:rsid w:val="009B6368"/>
    <w:rsid w:val="009C6055"/>
    <w:rsid w:val="009D1992"/>
    <w:rsid w:val="009D2672"/>
    <w:rsid w:val="009D4CFB"/>
    <w:rsid w:val="009D55E2"/>
    <w:rsid w:val="009D6B74"/>
    <w:rsid w:val="009E040F"/>
    <w:rsid w:val="009E058C"/>
    <w:rsid w:val="009E2E9E"/>
    <w:rsid w:val="009E7662"/>
    <w:rsid w:val="009F7B9D"/>
    <w:rsid w:val="00A05DED"/>
    <w:rsid w:val="00A260C5"/>
    <w:rsid w:val="00A30053"/>
    <w:rsid w:val="00A41ABE"/>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B063AF"/>
    <w:rsid w:val="00B06E36"/>
    <w:rsid w:val="00B161B5"/>
    <w:rsid w:val="00B3517F"/>
    <w:rsid w:val="00B442F0"/>
    <w:rsid w:val="00B501E3"/>
    <w:rsid w:val="00B54131"/>
    <w:rsid w:val="00B56FEE"/>
    <w:rsid w:val="00B61B82"/>
    <w:rsid w:val="00B6543D"/>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048F"/>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B4DBC"/>
    <w:rsid w:val="00CD4225"/>
    <w:rsid w:val="00CD749C"/>
    <w:rsid w:val="00CE7E9F"/>
    <w:rsid w:val="00CF5DB1"/>
    <w:rsid w:val="00D021E3"/>
    <w:rsid w:val="00D0447C"/>
    <w:rsid w:val="00D0687E"/>
    <w:rsid w:val="00D27DD2"/>
    <w:rsid w:val="00D3280A"/>
    <w:rsid w:val="00D352E6"/>
    <w:rsid w:val="00D43C50"/>
    <w:rsid w:val="00D6038E"/>
    <w:rsid w:val="00D657DA"/>
    <w:rsid w:val="00D70373"/>
    <w:rsid w:val="00D73831"/>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99E"/>
    <w:rsid w:val="00EB3B7C"/>
    <w:rsid w:val="00EC5BD2"/>
    <w:rsid w:val="00EE0B71"/>
    <w:rsid w:val="00EE0B82"/>
    <w:rsid w:val="00EE2966"/>
    <w:rsid w:val="00EE4D84"/>
    <w:rsid w:val="00EF1675"/>
    <w:rsid w:val="00EF2145"/>
    <w:rsid w:val="00EF4507"/>
    <w:rsid w:val="00F03709"/>
    <w:rsid w:val="00F1620B"/>
    <w:rsid w:val="00F2716C"/>
    <w:rsid w:val="00F2785B"/>
    <w:rsid w:val="00F279CB"/>
    <w:rsid w:val="00F308E7"/>
    <w:rsid w:val="00F30E8C"/>
    <w:rsid w:val="00F376DC"/>
    <w:rsid w:val="00F43B47"/>
    <w:rsid w:val="00F44E18"/>
    <w:rsid w:val="00F52102"/>
    <w:rsid w:val="00F70CC1"/>
    <w:rsid w:val="00F84C48"/>
    <w:rsid w:val="00F95C2A"/>
    <w:rsid w:val="00F97A11"/>
    <w:rsid w:val="00FA18FA"/>
    <w:rsid w:val="00FA3C98"/>
    <w:rsid w:val="00FA6EF1"/>
    <w:rsid w:val="00FB5259"/>
    <w:rsid w:val="00FB6C99"/>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12</Pages>
  <Words>22059</Words>
  <Characters>12575</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34565</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50</cp:revision>
  <cp:lastPrinted>2017-03-06T10:47:00Z</cp:lastPrinted>
  <dcterms:created xsi:type="dcterms:W3CDTF">2018-09-05T08:34:00Z</dcterms:created>
  <dcterms:modified xsi:type="dcterms:W3CDTF">2021-03-18T06:30:00Z</dcterms:modified>
</cp:coreProperties>
</file>