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1296"/>
          <w:tab w:val="left" w:pos="5952" w:leader="none"/>
        </w:tabs>
        <w:ind w:left="5953" w:hanging="2098"/>
        <w:jc w:val="center"/>
        <w:rPr/>
      </w:pPr>
      <w:r>
        <w:rPr>
          <w:rFonts w:eastAsia="MS Mincho"/>
        </w:rPr>
        <w:t>PATVIRTINTA</w:t>
      </w:r>
    </w:p>
    <w:p>
      <w:pPr>
        <w:pStyle w:val="Normal"/>
        <w:ind w:left="5954" w:hanging="0"/>
        <w:rPr/>
      </w:pPr>
      <w:r>
        <w:rPr>
          <w:rFonts w:eastAsia="MS Mincho"/>
        </w:rPr>
        <w:t xml:space="preserve">Šilutės rajono savivaldybės tarybos </w:t>
      </w:r>
    </w:p>
    <w:p>
      <w:pPr>
        <w:pStyle w:val="Normal"/>
        <w:ind w:left="5954" w:hanging="0"/>
        <w:rPr/>
      </w:pPr>
      <w:r>
        <w:rPr>
          <w:rFonts w:eastAsia="MS Mincho"/>
        </w:rPr>
        <w:t xml:space="preserve">2021 m. balandžio 29 d. </w:t>
      </w:r>
    </w:p>
    <w:p>
      <w:pPr>
        <w:pStyle w:val="Normal"/>
        <w:ind w:left="5954" w:hanging="0"/>
        <w:rPr/>
      </w:pPr>
      <w:r>
        <w:rPr>
          <w:rFonts w:eastAsia="MS Mincho"/>
        </w:rPr>
        <w:t>sprendimu Nr. T1-662</w:t>
      </w:r>
      <w:bookmarkStart w:id="0" w:name="_GoBack"/>
      <w:bookmarkEnd w:id="0"/>
    </w:p>
    <w:p>
      <w:pPr>
        <w:pStyle w:val="Normal"/>
        <w:jc w:val="right"/>
        <w:rPr>
          <w:rFonts w:eastAsia="MS Mincho"/>
          <w:color w:val="000000"/>
        </w:rPr>
      </w:pPr>
      <w:r>
        <w:rPr>
          <w:rFonts w:eastAsia="MS Mincho"/>
          <w:color w:val="000000"/>
        </w:rPr>
      </w:r>
    </w:p>
    <w:p>
      <w:pPr>
        <w:pStyle w:val="Normal"/>
        <w:jc w:val="center"/>
        <w:rPr/>
      </w:pPr>
      <w:r>
        <w:rPr>
          <w:b/>
        </w:rPr>
        <w:t xml:space="preserve">ŠILUTĖS RAJONO SAVIVALDYBĖS NEFORMALIOJO VAIKŲ ŠVIETIMO </w:t>
      </w:r>
    </w:p>
    <w:p>
      <w:pPr>
        <w:pStyle w:val="Normal"/>
        <w:jc w:val="center"/>
        <w:rPr/>
      </w:pPr>
      <w:r>
        <w:rPr>
          <w:b/>
        </w:rPr>
        <w:t>LĖŠŲ SKYRIMO IR PANAUDOJIMO TVARKOS APRAŠAS</w:t>
      </w:r>
    </w:p>
    <w:p>
      <w:pPr>
        <w:pStyle w:val="Normal"/>
        <w:jc w:val="center"/>
        <w:rPr>
          <w:b/>
          <w:b/>
        </w:rPr>
      </w:pPr>
      <w:r>
        <w:rPr>
          <w:b/>
        </w:rPr>
      </w:r>
    </w:p>
    <w:p>
      <w:pPr>
        <w:pStyle w:val="Normal"/>
        <w:jc w:val="center"/>
        <w:rPr/>
      </w:pPr>
      <w:r>
        <w:rPr>
          <w:b/>
        </w:rPr>
        <w:t>I SKYRIUS</w:t>
      </w:r>
    </w:p>
    <w:p>
      <w:pPr>
        <w:pStyle w:val="Normal"/>
        <w:jc w:val="center"/>
        <w:rPr/>
      </w:pPr>
      <w:r>
        <w:rPr>
          <w:b/>
        </w:rPr>
        <w:t>BENDROSIOS NUOSTATOS</w:t>
      </w:r>
    </w:p>
    <w:p>
      <w:pPr>
        <w:pStyle w:val="Normal"/>
        <w:jc w:val="both"/>
        <w:rPr>
          <w:b/>
          <w:b/>
        </w:rPr>
      </w:pPr>
      <w:r>
        <w:rPr>
          <w:b/>
        </w:rPr>
      </w:r>
    </w:p>
    <w:p>
      <w:pPr>
        <w:pStyle w:val="Normal"/>
        <w:ind w:left="1" w:firstLine="720"/>
        <w:jc w:val="both"/>
        <w:rPr/>
      </w:pPr>
      <w:r>
        <w:rPr/>
        <w:t xml:space="preserve">1. Šilutės rajono savivaldybės neformaliojo vaikų švietimo lėšų skyrimo ir panaudojimo tvarkos aprašo (toliau – Aprašas) paskirtis – apibrėžti valstybės biudžeto ir/arba Europos Sąjungos finansinės paramos ir bendrojo finansavimo lėšų (toliau - lėšos), skiriamų Šilutės rajono savivaldybės (toliau – Savivaldybės) mokinių ugdymui pagal neformaliojo vaikų švietimo (išskyrus ikimokyklinio, priešmokyklinio ir formalųjį švietimą papildančio ugdymo) (toliau – NVŠ) programas, skyrimo principus, lėšų naudojimą, reikalavimus švietimo teikėjui ir NVŠ programoms, NVŠ tikslinėmis lėšomis finansuojamų vaikų apskaitą, NVŠ programų vertinimo, kokybės užtikrinimo ir atsiskaitymo už NVŠ lėšas tvarką. </w:t>
      </w:r>
    </w:p>
    <w:p>
      <w:pPr>
        <w:pStyle w:val="Normal"/>
        <w:ind w:left="1" w:firstLine="720"/>
        <w:jc w:val="both"/>
        <w:rPr/>
      </w:pPr>
      <w:r>
        <w:rPr/>
        <w:t xml:space="preserve">2. NVŠ lėšos yra speciali tikslinė valstybės dotacija Savivaldybei, siekiant didinti neformaliojo vaikų švietimo prieinamumą ir įvairovę. </w:t>
      </w:r>
    </w:p>
    <w:p>
      <w:pPr>
        <w:pStyle w:val="Normal"/>
        <w:ind w:left="1" w:firstLine="720"/>
        <w:jc w:val="both"/>
        <w:rPr/>
      </w:pPr>
      <w:r>
        <w:rPr/>
        <w:t>3. NVŠ lėšos savivaldybei apskaičiuojamos visas NVŠ lėšas padalinus iš Lietuvos mokinių, kurie praėjusių kalendorinių metų rugsėjo 1 d. mokėsi pagal bendrojo ugdymo programas, skaičiaus ir padauginus iš savivaldybėje praėjusių kalendorinių metų rugsėjo 1 d. besimokiusių mokinių skaičiaus. NVŠ lėšas savivaldybė naudoja NVŠ programos finansuoti ir Aprašo įgyvendinimui administruoti, neviršijant 3 proc. savivaldybei skirtos sumos.</w:t>
      </w:r>
    </w:p>
    <w:p>
      <w:pPr>
        <w:pStyle w:val="Normal"/>
        <w:ind w:left="1" w:firstLine="720"/>
        <w:jc w:val="both"/>
        <w:rPr/>
      </w:pPr>
      <w:r>
        <w:rPr/>
      </w:r>
    </w:p>
    <w:p>
      <w:pPr>
        <w:pStyle w:val="Normal"/>
        <w:jc w:val="center"/>
        <w:rPr/>
      </w:pPr>
      <w:r>
        <w:rPr>
          <w:b/>
        </w:rPr>
        <w:t>II SKYRIUS</w:t>
      </w:r>
    </w:p>
    <w:p>
      <w:pPr>
        <w:pStyle w:val="Normal"/>
        <w:jc w:val="center"/>
        <w:rPr/>
      </w:pPr>
      <w:r>
        <w:rPr>
          <w:b/>
        </w:rPr>
        <w:t>NVŠ LĖŠŲ SKYRIMO PRINCIPAI</w:t>
      </w:r>
    </w:p>
    <w:p>
      <w:pPr>
        <w:pStyle w:val="Normal"/>
        <w:jc w:val="center"/>
        <w:rPr>
          <w:b/>
          <w:b/>
        </w:rPr>
      </w:pPr>
      <w:r>
        <w:rPr>
          <w:b/>
        </w:rPr>
      </w:r>
    </w:p>
    <w:p>
      <w:pPr>
        <w:pStyle w:val="Normal"/>
        <w:ind w:left="1" w:firstLine="720"/>
        <w:jc w:val="both"/>
        <w:rPr/>
      </w:pPr>
      <w:r>
        <w:rPr>
          <w:rFonts w:eastAsia="MS Mincho"/>
        </w:rPr>
        <w:t xml:space="preserve">4. Savivaldybei tenkanti NVŠ lėšų suma skiriama Lietuvos Respublikos švietimo, mokslo ir sporto ministro įsakymu einamiesiems kalendoriniams metams. </w:t>
      </w:r>
    </w:p>
    <w:p>
      <w:pPr>
        <w:pStyle w:val="Normal"/>
        <w:ind w:left="1" w:firstLine="720"/>
        <w:jc w:val="both"/>
        <w:rPr/>
      </w:pPr>
      <w:r>
        <w:rPr/>
        <w:t>5. NVŠ lėšomis gali būti finansuojama tik viena vaiko pasirinkta NVŠ programa, kuriai NVŠ lėšas skiria ta savivaldybė, kurioje vaikas mokosi pagal NVŠ programą, nepriklausomai, kurioje savivaldybėje jis gyvena ir mokosi pagal bendrojo ugdymo programą.</w:t>
      </w:r>
    </w:p>
    <w:p>
      <w:pPr>
        <w:pStyle w:val="Normal"/>
        <w:ind w:left="1" w:firstLine="720"/>
        <w:jc w:val="both"/>
        <w:rPr/>
      </w:pPr>
      <w:r>
        <w:rPr/>
        <w:t>6. Jei NVŠ lėšų mažiau nei vaikų, norinčių dalyvauti NVŠ programose, lėšos pirmiausiai skiriamos vaikams, turintiems specialiųjų ugdymosi poreikių, mokiniams, gaunantiems socialinę paramą arba turintiems teisę į socialinę paramą. Atsižvelgiant į esamą neformaliojo švietimo situaciją rajone, prioritetas gali būti teikiamas įgyvendinti:</w:t>
      </w:r>
    </w:p>
    <w:p>
      <w:pPr>
        <w:pStyle w:val="Normal"/>
        <w:ind w:firstLine="737"/>
        <w:jc w:val="both"/>
        <w:rPr/>
      </w:pPr>
      <w:r>
        <w:rPr>
          <w:color w:val="000000"/>
        </w:rPr>
        <w:t>6.1. STEAM krypties NVŠ programoms, skatinančioms gamtos mokslų, technologijų, inžinerijos ir matematikos tyrimų ir eksperimentines veiklas;</w:t>
      </w:r>
    </w:p>
    <w:p>
      <w:pPr>
        <w:pStyle w:val="Normal"/>
        <w:ind w:left="-57" w:firstLine="794"/>
        <w:rPr/>
      </w:pPr>
      <w:r>
        <w:rPr>
          <w:color w:val="000000"/>
        </w:rPr>
        <w:t>6.2. 3 mėnesių trukmės programoms, kurių veikla organizuojama  mokinių vasaros atostogų metu.</w:t>
      </w:r>
    </w:p>
    <w:p>
      <w:pPr>
        <w:pStyle w:val="Normal"/>
        <w:ind w:firstLine="737"/>
        <w:jc w:val="both"/>
        <w:rPr/>
      </w:pPr>
      <w:r>
        <w:rPr>
          <w:color w:val="000000"/>
        </w:rPr>
        <w:t>7. NVŠ programos gali būti 3, 6, 9, 12 mėnesių trukmės ir vykdomos visus kalendorinius metus, atsižvelgiant į mokinių pageidavimus.</w:t>
      </w:r>
    </w:p>
    <w:p>
      <w:pPr>
        <w:pStyle w:val="Normal"/>
        <w:tabs>
          <w:tab w:val="clear" w:pos="1296"/>
          <w:tab w:val="left" w:pos="0" w:leader="none"/>
        </w:tabs>
        <w:jc w:val="both"/>
        <w:rPr>
          <w:strike/>
        </w:rPr>
      </w:pPr>
      <w:r>
        <w:rPr>
          <w:strike/>
        </w:rPr>
      </w:r>
    </w:p>
    <w:p>
      <w:pPr>
        <w:pStyle w:val="Normal"/>
        <w:jc w:val="center"/>
        <w:rPr/>
      </w:pPr>
      <w:r>
        <w:rPr>
          <w:b/>
        </w:rPr>
        <w:t>III SKYRIUS</w:t>
      </w:r>
    </w:p>
    <w:p>
      <w:pPr>
        <w:pStyle w:val="Normal"/>
        <w:jc w:val="center"/>
        <w:rPr/>
      </w:pPr>
      <w:r>
        <w:rPr>
          <w:b/>
        </w:rPr>
        <w:t>NVŠ LĖŠOS IR JŲ NAUDOJIMAS</w:t>
      </w:r>
    </w:p>
    <w:p>
      <w:pPr>
        <w:pStyle w:val="Normal"/>
        <w:jc w:val="center"/>
        <w:rPr>
          <w:b/>
          <w:b/>
        </w:rPr>
      </w:pPr>
      <w:r>
        <w:rPr>
          <w:b/>
        </w:rPr>
      </w:r>
    </w:p>
    <w:p>
      <w:pPr>
        <w:pStyle w:val="Normal"/>
        <w:tabs>
          <w:tab w:val="clear" w:pos="1296"/>
          <w:tab w:val="left" w:pos="0" w:leader="none"/>
          <w:tab w:val="left" w:pos="709" w:leader="none"/>
        </w:tabs>
        <w:ind w:firstLine="737"/>
        <w:jc w:val="both"/>
        <w:rPr/>
      </w:pPr>
      <w:r>
        <w:rPr/>
        <w:t>8. NVŠ programose dalyvaujantiems vaikams skiriama suma negali būti mažesnė kaip 15 ir didesnė kaip 20 eurų per mėnesį.</w:t>
      </w:r>
    </w:p>
    <w:p>
      <w:pPr>
        <w:pStyle w:val="Normal"/>
        <w:tabs>
          <w:tab w:val="clear" w:pos="1296"/>
          <w:tab w:val="left" w:pos="994" w:leader="none"/>
          <w:tab w:val="left" w:pos="1135" w:leader="none"/>
        </w:tabs>
        <w:ind w:left="1" w:firstLine="720"/>
        <w:jc w:val="both"/>
        <w:rPr/>
      </w:pPr>
      <w:r>
        <w:rPr/>
        <w:t xml:space="preserve">9. Rekomenduojama NVŠ lėšų suma 15 eurų per mėnesį vienam vaikui skiriama visų NVŠ programų įgyvendinimui. </w:t>
      </w:r>
    </w:p>
    <w:p>
      <w:pPr>
        <w:pStyle w:val="Normal"/>
        <w:ind w:left="1" w:firstLine="720"/>
        <w:jc w:val="both"/>
        <w:rPr/>
      </w:pPr>
      <w:r>
        <w:rPr/>
        <w:t xml:space="preserve">10. Didesnė negu 15 eurų suma per mėnesį vienam vaikui gali būti skiriama įgyvendinti NVŠ programas, kurios atitinka nustatytus prioritetus, jų vykdymo kokybiniai ir kiekybiniai rodikliai yra aukštesni, </w:t>
      </w:r>
      <w:r>
        <w:rPr>
          <w:lang w:val="en-US"/>
        </w:rPr>
        <w:t>yra aptarti NV</w:t>
      </w:r>
      <w:r>
        <w:rPr/>
        <w:t>Š</w:t>
      </w:r>
      <w:r>
        <w:rPr>
          <w:lang w:val="en-US"/>
        </w:rPr>
        <w:t xml:space="preserve"> program</w:t>
      </w:r>
      <w:r>
        <w:rPr/>
        <w:t>ų</w:t>
      </w:r>
      <w:r>
        <w:rPr>
          <w:lang w:val="en-US"/>
        </w:rPr>
        <w:t xml:space="preserve"> vertinimo </w:t>
      </w:r>
      <w:r>
        <w:rPr/>
        <w:t>K</w:t>
      </w:r>
      <w:r>
        <w:rPr>
          <w:lang w:val="en-US"/>
        </w:rPr>
        <w:t>omisijoje.</w:t>
      </w:r>
    </w:p>
    <w:p>
      <w:pPr>
        <w:pStyle w:val="Normal"/>
        <w:ind w:left="1" w:firstLine="720"/>
        <w:jc w:val="both"/>
        <w:rPr/>
      </w:pPr>
      <w:r>
        <w:rPr/>
        <w:t xml:space="preserve">11. Programų finansavimo sumą nustato NVŠ programų vertinimo ir lėšų skirstymo komisija (toliau – Komisija) ir teikia tvirtinti Savivaldybės administracijos direktoriui. </w:t>
      </w:r>
    </w:p>
    <w:p>
      <w:pPr>
        <w:pStyle w:val="NoSpacing"/>
        <w:ind w:left="1" w:firstLine="720"/>
        <w:jc w:val="both"/>
        <w:rPr/>
      </w:pPr>
      <w:r>
        <w:rPr>
          <w:lang w:eastAsia="en-US"/>
        </w:rPr>
        <w:t>12. NVŠ lėšos švietimo teikėjui (toliau – Teikėjas) skiriamos, jei Savivaldybės nustatytu dydžiu mažinamas s</w:t>
      </w:r>
      <w:r>
        <w:rPr>
          <w:rFonts w:cs="TimesLT" w:ascii="TimesLT" w:hAnsi="TimesLT"/>
          <w:lang w:eastAsia="en-US"/>
        </w:rPr>
        <w:t>avivaldybės, valstybės ar kito švietimo teikėjo nustatytas mokestis už neformalųjį vaikų švietimą</w:t>
      </w:r>
      <w:r>
        <w:rPr>
          <w:lang w:eastAsia="en-US"/>
        </w:rPr>
        <w:t xml:space="preserve">. </w:t>
      </w:r>
    </w:p>
    <w:p>
      <w:pPr>
        <w:pStyle w:val="Normal"/>
        <w:ind w:left="1" w:firstLine="720"/>
        <w:jc w:val="both"/>
        <w:rPr/>
      </w:pPr>
      <w:r>
        <w:rPr/>
        <w:t>13. Finansavimas neskiriamas VšĮ „Šilutės sportas“, Šilutės meno ir sporto mokyklas lankantiems vaikams, dalyvaujantiems analogiškose NVŠ programose.</w:t>
      </w:r>
    </w:p>
    <w:p>
      <w:pPr>
        <w:pStyle w:val="Normal"/>
        <w:ind w:left="1" w:firstLine="720"/>
        <w:jc w:val="both"/>
        <w:rPr/>
      </w:pPr>
      <w:r>
        <w:rPr/>
        <w:t>14. Maksimalus mokinių skaičius NVŠ programoje – 50. Vienoje programos grupėje – ne daugiau 25 dalyviai.</w:t>
      </w:r>
    </w:p>
    <w:p>
      <w:pPr>
        <w:pStyle w:val="Normal"/>
        <w:tabs>
          <w:tab w:val="clear" w:pos="1296"/>
          <w:tab w:val="left" w:pos="994" w:leader="none"/>
          <w:tab w:val="left" w:pos="1135" w:leader="none"/>
        </w:tabs>
        <w:ind w:left="1" w:firstLine="720"/>
        <w:jc w:val="both"/>
        <w:rPr/>
      </w:pPr>
      <w:r>
        <w:rPr>
          <w:color w:val="000000"/>
        </w:rPr>
        <w:t>15. NVŠ lėšos skiriamos vaiko, dalyvaujančio NVŠ programoje, ugdymo procesui ir tiesiogiai su juo susijusioms išlaidoms</w:t>
      </w:r>
      <w:r>
        <w:rPr>
          <w:b/>
          <w:bCs/>
          <w:color w:val="000000"/>
        </w:rPr>
        <w:t xml:space="preserve"> </w:t>
      </w:r>
      <w:r>
        <w:rPr>
          <w:color w:val="000000"/>
        </w:rPr>
        <w:t>finansuoti ir naudojamos Lietuvos Respublikos įstatymų numatyta tvarka.</w:t>
      </w:r>
    </w:p>
    <w:p>
      <w:pPr>
        <w:pStyle w:val="Normal"/>
        <w:tabs>
          <w:tab w:val="clear" w:pos="1296"/>
          <w:tab w:val="left" w:pos="994" w:leader="none"/>
          <w:tab w:val="left" w:pos="1135" w:leader="none"/>
        </w:tabs>
        <w:ind w:left="1" w:firstLine="720"/>
        <w:jc w:val="both"/>
        <w:rPr/>
      </w:pPr>
      <w:r>
        <w:rPr>
          <w:color w:val="000000"/>
        </w:rPr>
        <w:t>15.1. Dėl valstybės lygio ekstremalios situacijos ar karantino savivaldybėje sumažėjus galimybei įgyvendinti NVŠ programas, skirtas ir planuojamas nepanaudoti lėšas galima naudoti stovykloms, prisidedančioms prie socialinių emocinių kompetencijų ugdymo, vykdomoms mokinių atostogų metu (toliau – Stovyklos) finansuoti, kurios:</w:t>
      </w:r>
    </w:p>
    <w:p>
      <w:pPr>
        <w:pStyle w:val="Normal"/>
        <w:ind w:firstLine="737"/>
        <w:jc w:val="both"/>
        <w:rPr/>
      </w:pPr>
      <w:r>
        <w:rPr>
          <w:color w:val="000000"/>
        </w:rPr>
        <w:t>15.1.1.skirtos mokiniams, besimokantiems pagal bendrojo ugdymo programas;</w:t>
      </w:r>
    </w:p>
    <w:p>
      <w:pPr>
        <w:pStyle w:val="Normal"/>
        <w:ind w:firstLine="737"/>
        <w:jc w:val="both"/>
        <w:rPr/>
      </w:pPr>
      <w:r>
        <w:rPr>
          <w:color w:val="000000"/>
        </w:rPr>
        <w:t>15.1.2. vykdomos reikalavimus atitinkančių švietimo teikėjų.</w:t>
      </w:r>
    </w:p>
    <w:p>
      <w:pPr>
        <w:pStyle w:val="Normal"/>
        <w:tabs>
          <w:tab w:val="clear" w:pos="1296"/>
          <w:tab w:val="left" w:pos="994" w:leader="none"/>
          <w:tab w:val="left" w:pos="1135" w:leader="none"/>
        </w:tabs>
        <w:ind w:left="1" w:firstLine="720"/>
        <w:jc w:val="both"/>
        <w:rPr/>
      </w:pPr>
      <w:r>
        <w:rPr>
          <w:color w:val="000000"/>
        </w:rPr>
        <w:t xml:space="preserve">15.2. Planuojama nepanaudoti NVŠ lėšų suma, skirta panaudoti Stovykloms, tvirtinama savivaldybės tarybos sprendimu ir naudojama Stovykloms  finansuoti pagal savivaldybės patvirtintą Stovyklų finansavimo tvarką. </w:t>
      </w:r>
    </w:p>
    <w:p>
      <w:pPr>
        <w:pStyle w:val="Normal"/>
        <w:tabs>
          <w:tab w:val="clear" w:pos="1296"/>
          <w:tab w:val="left" w:pos="994" w:leader="none"/>
          <w:tab w:val="left" w:pos="1135" w:leader="none"/>
        </w:tabs>
        <w:ind w:left="1" w:firstLine="720"/>
        <w:jc w:val="both"/>
        <w:rPr>
          <w:color w:val="FF0000"/>
        </w:rPr>
      </w:pPr>
      <w:r>
        <w:rPr>
          <w:color w:val="FF0000"/>
        </w:rPr>
      </w:r>
    </w:p>
    <w:p>
      <w:pPr>
        <w:pStyle w:val="Normal"/>
        <w:jc w:val="center"/>
        <w:rPr/>
      </w:pPr>
      <w:r>
        <w:rPr>
          <w:b/>
        </w:rPr>
        <w:t>IV SKYRIUS</w:t>
      </w:r>
    </w:p>
    <w:p>
      <w:pPr>
        <w:pStyle w:val="Normal"/>
        <w:jc w:val="center"/>
        <w:rPr/>
      </w:pPr>
      <w:r>
        <w:rPr>
          <w:b/>
        </w:rPr>
        <w:t>REIKALAVIMAI ŠVIETIMO TEIKĖJUI</w:t>
      </w:r>
    </w:p>
    <w:p>
      <w:pPr>
        <w:pStyle w:val="Normal"/>
        <w:ind w:left="567" w:hanging="0"/>
        <w:jc w:val="center"/>
        <w:rPr>
          <w:b/>
          <w:b/>
        </w:rPr>
      </w:pPr>
      <w:r>
        <w:rPr>
          <w:b/>
        </w:rPr>
      </w:r>
    </w:p>
    <w:p>
      <w:pPr>
        <w:pStyle w:val="Normal"/>
        <w:tabs>
          <w:tab w:val="clear" w:pos="1296"/>
          <w:tab w:val="left" w:pos="567" w:leader="none"/>
          <w:tab w:val="left" w:pos="709" w:leader="none"/>
        </w:tabs>
        <w:ind w:firstLine="737"/>
        <w:jc w:val="both"/>
        <w:rPr/>
      </w:pPr>
      <w:r>
        <w:rPr/>
        <w:t xml:space="preserve">16. NVŠ lėšomis NVŠ programas įgyvendinti gali visi neformaliojo vaikų švietimo teikėjai (išskyrus mokyklas, teikiančias bendrąjį ugdymą), kurie: </w:t>
      </w:r>
    </w:p>
    <w:p>
      <w:pPr>
        <w:pStyle w:val="Normal"/>
        <w:tabs>
          <w:tab w:val="clear" w:pos="1296"/>
          <w:tab w:val="left" w:pos="709" w:leader="none"/>
        </w:tabs>
        <w:jc w:val="both"/>
        <w:rPr/>
      </w:pPr>
      <w:r>
        <w:rPr/>
        <w:tab/>
        <w:t>16.1. turi teisę vykdyti švietimo veiklą;</w:t>
      </w:r>
    </w:p>
    <w:p>
      <w:pPr>
        <w:pStyle w:val="Normal"/>
        <w:tabs>
          <w:tab w:val="clear" w:pos="1296"/>
          <w:tab w:val="left" w:pos="709" w:leader="none"/>
        </w:tabs>
        <w:jc w:val="both"/>
        <w:rPr/>
      </w:pPr>
      <w:r>
        <w:rPr/>
        <w:tab/>
        <w:t>16.2. registruoti Švietimo ir mokslo institucijų registre (toliau – ŠMIR). Registravimo tvarka pateikta adresu</w:t>
      </w:r>
      <w:r>
        <w:rPr>
          <w:i/>
          <w:iCs/>
        </w:rPr>
        <w:t xml:space="preserve"> </w:t>
      </w:r>
      <w:hyperlink r:id="rId2">
        <w:r>
          <w:rPr>
            <w:rStyle w:val="Internetosaitas"/>
            <w:rFonts w:cs="Times New Roman"/>
            <w:b/>
            <w:bCs/>
            <w:i/>
            <w:iCs/>
            <w:color w:val="000000"/>
            <w:sz w:val="24"/>
            <w:szCs w:val="24"/>
          </w:rPr>
          <w:t>www.smir.smm.lt</w:t>
        </w:r>
      </w:hyperlink>
      <w:r>
        <w:rPr>
          <w:rStyle w:val="Internetosaitas"/>
          <w:rFonts w:cs="Times New Roman"/>
          <w:b/>
          <w:bCs/>
          <w:i/>
          <w:iCs/>
          <w:color w:val="000000"/>
          <w:sz w:val="24"/>
          <w:szCs w:val="24"/>
        </w:rPr>
        <w:t xml:space="preserve"> </w:t>
      </w:r>
      <w:r>
        <w:rPr>
          <w:rStyle w:val="Internetosaitas"/>
          <w:rFonts w:cs="Times New Roman"/>
          <w:color w:val="000000"/>
          <w:sz w:val="24"/>
          <w:szCs w:val="24"/>
        </w:rPr>
        <w:t>;</w:t>
      </w:r>
    </w:p>
    <w:p>
      <w:pPr>
        <w:pStyle w:val="Normal"/>
        <w:tabs>
          <w:tab w:val="clear" w:pos="1296"/>
          <w:tab w:val="left" w:pos="709" w:leader="none"/>
        </w:tabs>
        <w:jc w:val="both"/>
        <w:rPr/>
      </w:pPr>
      <w:r>
        <w:rPr/>
        <w:tab/>
        <w:t>16.3. turi NVŠ programai (- oms) įgyvendinti pritaikytas patalpas, įrangą, priemones;</w:t>
      </w:r>
    </w:p>
    <w:p>
      <w:pPr>
        <w:pStyle w:val="Normal"/>
        <w:tabs>
          <w:tab w:val="clear" w:pos="1296"/>
          <w:tab w:val="left" w:pos="709" w:leader="none"/>
        </w:tabs>
        <w:ind w:left="-57" w:firstLine="794"/>
        <w:jc w:val="both"/>
        <w:rPr/>
      </w:pPr>
      <w:r>
        <w:rPr/>
        <w:t>16.4. atitinka higienos normas ir teisės aktų nustatytus mokinių saugos bei sveikatos reikalavimus;</w:t>
      </w:r>
    </w:p>
    <w:p>
      <w:pPr>
        <w:pStyle w:val="Normal"/>
        <w:tabs>
          <w:tab w:val="clear" w:pos="1296"/>
          <w:tab w:val="left" w:pos="709" w:leader="none"/>
        </w:tabs>
        <w:ind w:left="-57" w:firstLine="794"/>
        <w:jc w:val="both"/>
        <w:rPr/>
      </w:pPr>
      <w:r>
        <w:rPr/>
        <w:t>16.5. turi mokytojus, pagal Lietuvos Respublikos švietimo įstatymą galinčius dirbti pagal neformaliojo vaikų švietimo programas.</w:t>
      </w:r>
    </w:p>
    <w:p>
      <w:pPr>
        <w:pStyle w:val="Normal"/>
        <w:tabs>
          <w:tab w:val="clear" w:pos="1296"/>
          <w:tab w:val="left" w:pos="709" w:leader="none"/>
        </w:tabs>
        <w:jc w:val="both"/>
        <w:rPr/>
      </w:pPr>
      <w:r>
        <w:rPr/>
        <w:tab/>
        <w:t>17. Laisvieji mokytojai, pvz., menininko statusą turintys asmenys, kultūros darbuotojai ir pan., norintys įgyvendinti NVŠ programas:</w:t>
      </w:r>
    </w:p>
    <w:p>
      <w:pPr>
        <w:pStyle w:val="Normal"/>
        <w:tabs>
          <w:tab w:val="clear" w:pos="1296"/>
          <w:tab w:val="left" w:pos="709" w:leader="none"/>
        </w:tabs>
        <w:jc w:val="both"/>
        <w:rPr/>
      </w:pPr>
      <w:r>
        <w:rPr/>
        <w:tab/>
        <w:t>17.1. turi atitikti reikalavimus, nustatytus Aprašo 16.5 punkte;</w:t>
      </w:r>
    </w:p>
    <w:p>
      <w:pPr>
        <w:pStyle w:val="Normal"/>
        <w:tabs>
          <w:tab w:val="clear" w:pos="1296"/>
          <w:tab w:val="left" w:pos="736" w:leader="none"/>
        </w:tabs>
        <w:ind w:firstLine="709"/>
        <w:jc w:val="both"/>
        <w:rPr/>
      </w:pPr>
      <w:r>
        <w:rPr/>
        <w:t>17.2. teisės aktų nustatyta tvarka turi įsigyti verslo liudijimą ar individualios veiklos pažymą;</w:t>
      </w:r>
    </w:p>
    <w:p>
      <w:pPr>
        <w:pStyle w:val="Normal"/>
        <w:tabs>
          <w:tab w:val="clear" w:pos="1296"/>
          <w:tab w:val="left" w:pos="736" w:leader="none"/>
          <w:tab w:val="left" w:pos="1134" w:leader="none"/>
        </w:tabs>
        <w:ind w:firstLine="709"/>
        <w:jc w:val="both"/>
        <w:rPr/>
      </w:pPr>
      <w:r>
        <w:rPr/>
        <w:t xml:space="preserve">17.3. turi registruotis ŠMIR‘e ir vadovaudamiesi 16.2. papunktyje nurodyta tvarka, užpildyti laisvojo mokytojo duomenų registravimo kortelę. </w:t>
      </w:r>
    </w:p>
    <w:p>
      <w:pPr>
        <w:pStyle w:val="Normal"/>
        <w:tabs>
          <w:tab w:val="clear" w:pos="1296"/>
          <w:tab w:val="left" w:pos="736" w:leader="none"/>
        </w:tabs>
        <w:jc w:val="both"/>
        <w:rPr/>
      </w:pPr>
      <w:r>
        <w:rPr/>
        <w:tab/>
        <w:t xml:space="preserve">18. 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pPr>
        <w:pStyle w:val="Normal"/>
        <w:jc w:val="center"/>
        <w:rPr>
          <w:rFonts w:eastAsia="MS Mincho"/>
          <w:b/>
          <w:b/>
        </w:rPr>
      </w:pPr>
      <w:r>
        <w:rPr>
          <w:rFonts w:eastAsia="MS Mincho"/>
          <w:b/>
        </w:rPr>
      </w:r>
    </w:p>
    <w:p>
      <w:pPr>
        <w:pStyle w:val="Normal"/>
        <w:jc w:val="center"/>
        <w:rPr/>
      </w:pPr>
      <w:r>
        <w:rPr>
          <w:rFonts w:eastAsia="MS Mincho"/>
          <w:b/>
        </w:rPr>
        <w:t>V SKYRIUS</w:t>
      </w:r>
    </w:p>
    <w:p>
      <w:pPr>
        <w:pStyle w:val="Normal"/>
        <w:tabs>
          <w:tab w:val="clear" w:pos="1296"/>
          <w:tab w:val="left" w:pos="1118" w:leader="none"/>
        </w:tabs>
        <w:jc w:val="center"/>
        <w:rPr/>
      </w:pPr>
      <w:r>
        <w:rPr>
          <w:rFonts w:eastAsia="MS Mincho"/>
          <w:b/>
        </w:rPr>
        <w:t>REIKALAVIMAI NVŠ PROGRAMOMS</w:t>
      </w:r>
    </w:p>
    <w:p>
      <w:pPr>
        <w:pStyle w:val="Normal"/>
        <w:jc w:val="center"/>
        <w:rPr>
          <w:rFonts w:eastAsia="MS Mincho"/>
          <w:b/>
          <w:b/>
          <w:highlight w:val="yellow"/>
        </w:rPr>
      </w:pPr>
      <w:r>
        <w:rPr>
          <w:rFonts w:eastAsia="MS Mincho"/>
          <w:b/>
          <w:highlight w:val="yellow"/>
        </w:rPr>
      </w:r>
    </w:p>
    <w:p>
      <w:pPr>
        <w:pStyle w:val="Normal"/>
        <w:tabs>
          <w:tab w:val="clear" w:pos="1296"/>
          <w:tab w:val="left" w:pos="792" w:leader="none"/>
        </w:tabs>
        <w:jc w:val="both"/>
        <w:rPr/>
      </w:pPr>
      <w:r>
        <w:rPr>
          <w:rFonts w:eastAsia="MS Mincho"/>
        </w:rPr>
        <w:tab/>
        <w:t>19. 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pPr>
        <w:pStyle w:val="Normal"/>
        <w:tabs>
          <w:tab w:val="clear" w:pos="1296"/>
          <w:tab w:val="left" w:pos="792" w:leader="none"/>
        </w:tabs>
        <w:jc w:val="both"/>
        <w:rPr/>
      </w:pPr>
      <w:r>
        <w:rPr>
          <w:rFonts w:eastAsia="MS Mincho"/>
        </w:rPr>
        <w:tab/>
        <w:t>20. NVŠ programos turi būti registruotos Neformaliojo vaikų švietimo programų registre (toliau – NŠPR). Tuo atveju, kai švietimo teikėjas vykdo programas skirtingose savivaldybėse, kiekviena programa yra registruojama atskirai, t. y. kiekviena NVŠ programa turi turėti unikalų NŠPR kodą.</w:t>
      </w:r>
    </w:p>
    <w:p>
      <w:pPr>
        <w:pStyle w:val="Normal"/>
        <w:tabs>
          <w:tab w:val="clear" w:pos="1296"/>
          <w:tab w:val="left" w:pos="792" w:leader="none"/>
        </w:tabs>
        <w:ind w:firstLine="794"/>
        <w:jc w:val="both"/>
        <w:rPr/>
      </w:pPr>
      <w:r>
        <w:rPr>
          <w:rFonts w:eastAsia="MS Mincho"/>
        </w:rPr>
        <w:t>21. NVŠ programos veiklos turi būti įgyvendinamos ne rečiau kaip po 2 pedagoginio darbo valandas per savaitę arba ne mažiau kaip 8 pedagoginio darbo valandas per mėnesį:</w:t>
      </w:r>
    </w:p>
    <w:p>
      <w:pPr>
        <w:pStyle w:val="Normal"/>
        <w:tabs>
          <w:tab w:val="clear" w:pos="1296"/>
          <w:tab w:val="left" w:pos="792" w:leader="none"/>
        </w:tabs>
        <w:ind w:firstLine="794"/>
        <w:jc w:val="both"/>
        <w:rPr/>
      </w:pPr>
      <w:r>
        <w:rPr>
          <w:rFonts w:eastAsia="MS Mincho"/>
        </w:rPr>
        <w:t>21.1. 3 mėnesių trukmės programos, vykdomos vasaros metu, gali būti suplanuotos 1-2 dienas per mėnesį, prisitaikant prie mokinių vasaros atostogų specifikos ir galimybių;</w:t>
      </w:r>
    </w:p>
    <w:p>
      <w:pPr>
        <w:pStyle w:val="Normal"/>
        <w:tabs>
          <w:tab w:val="clear" w:pos="1296"/>
          <w:tab w:val="left" w:pos="792" w:leader="none"/>
        </w:tabs>
        <w:ind w:firstLine="794"/>
        <w:jc w:val="both"/>
        <w:rPr/>
      </w:pPr>
      <w:r>
        <w:rPr>
          <w:rFonts w:eastAsia="MS Mincho"/>
        </w:rPr>
        <w:t>21.2. kitos NVŠ programos mokinių atostogų metu gali būti intensyvinamos ir vykdomos 1-2 savaičių laikotarpyje ne mažiau kaip 8 pedagoginio darbo valandas.</w:t>
      </w:r>
    </w:p>
    <w:p>
      <w:pPr>
        <w:pStyle w:val="Normal"/>
        <w:tabs>
          <w:tab w:val="clear" w:pos="1296"/>
          <w:tab w:val="left" w:pos="792" w:leader="none"/>
        </w:tabs>
        <w:ind w:firstLine="794"/>
        <w:jc w:val="both"/>
        <w:rPr/>
      </w:pPr>
      <w:r>
        <w:rPr/>
        <w:t xml:space="preserve">21.3. </w:t>
      </w:r>
      <w:r>
        <w:rPr>
          <w:rFonts w:eastAsia="MS Mincho"/>
        </w:rPr>
        <w:t xml:space="preserve">Karantino, ekstremalių situacijų ar ekstremalaus įvykio ar įvykio, keliančio pavojų mokinio sveikatai ir gyvybei, laikotarpiu, NVŠ programa gali būti įgyvendinama nuotoliniu būdu, jei sprendimas mokyti šiuo būdu priimtas valstybės ir /ar savivaldybės lygiu. Kitais atvejais NVŠ programa ar jos dalys gali būti įgyvendinamos nuotoliniu būdu, jei tai numatyta NVŠ programos atitikties reikalavimams paraiškos formoje. </w:t>
      </w:r>
    </w:p>
    <w:p>
      <w:pPr>
        <w:pStyle w:val="NoSpacing"/>
        <w:tabs>
          <w:tab w:val="clear" w:pos="1296"/>
          <w:tab w:val="left" w:pos="792" w:leader="none"/>
        </w:tabs>
        <w:ind w:firstLine="794"/>
        <w:jc w:val="both"/>
        <w:rPr/>
      </w:pPr>
      <w:r>
        <w:rPr>
          <w:rFonts w:eastAsia="MS Mincho"/>
        </w:rPr>
        <w:t>22.</w:t>
      </w:r>
      <w:r>
        <w:rPr>
          <w:rFonts w:eastAsia="MS Mincho"/>
          <w:b/>
        </w:rPr>
        <w:t xml:space="preserve"> </w:t>
      </w:r>
      <w:r>
        <w:rPr>
          <w:rFonts w:eastAsia="MS Mincho"/>
        </w:rPr>
        <w:t>Sutartinis vaikų skaičius grupėje ir NVŠ krepšelio dydis vienam mokiniui, atsižvelgiant į  Savivaldybei skirtas lėšas, nustatomas Savivaldybės administracijos direktoriaus įsakymu.</w:t>
      </w:r>
    </w:p>
    <w:p>
      <w:pPr>
        <w:pStyle w:val="NoSpacing"/>
        <w:tabs>
          <w:tab w:val="clear" w:pos="1296"/>
          <w:tab w:val="left" w:pos="792" w:leader="none"/>
        </w:tabs>
        <w:jc w:val="both"/>
        <w:rPr/>
      </w:pPr>
      <w:r>
        <w:rPr/>
      </w:r>
    </w:p>
    <w:p>
      <w:pPr>
        <w:pStyle w:val="Normal"/>
        <w:jc w:val="center"/>
        <w:rPr/>
      </w:pPr>
      <w:r>
        <w:rPr>
          <w:b/>
        </w:rPr>
        <w:t>VI SKYRIUS</w:t>
      </w:r>
    </w:p>
    <w:p>
      <w:pPr>
        <w:pStyle w:val="Normal"/>
        <w:jc w:val="center"/>
        <w:rPr/>
      </w:pPr>
      <w:r>
        <w:rPr>
          <w:b/>
        </w:rPr>
        <w:t>NVŠ PROGRAMŲ VERTINIMAS, KOKYBĖS UŽTIKRINIMAS IR NVŠ LĖŠAS GAUNANČIŲ VAIKŲ APSKAITA</w:t>
      </w:r>
    </w:p>
    <w:p>
      <w:pPr>
        <w:pStyle w:val="Normal"/>
        <w:jc w:val="center"/>
        <w:rPr>
          <w:b/>
          <w:b/>
        </w:rPr>
      </w:pPr>
      <w:r>
        <w:rPr>
          <w:b/>
        </w:rPr>
      </w:r>
    </w:p>
    <w:p>
      <w:pPr>
        <w:pStyle w:val="Normal"/>
        <w:tabs>
          <w:tab w:val="clear" w:pos="1296"/>
          <w:tab w:val="left" w:pos="792" w:leader="none"/>
        </w:tabs>
        <w:jc w:val="both"/>
        <w:rPr/>
      </w:pPr>
      <w:r>
        <w:rPr>
          <w:rFonts w:eastAsia="MS Mincho"/>
        </w:rPr>
        <w:tab/>
        <w:t>23. Informacija apie naujų NVŠ programų registraciją ir vertinimą skelbiama Savivaldybės tinklapyje. Švietimo teikėjas, atitinkantis Aprašo 16, 17 punktuose numatytus reikalavimus, Savivaldybės administracijos Švietimo ir kultūros skyriui teikia užpildytą NVŠ programos atitikties reikalavimams paraiškos formą (</w:t>
      </w:r>
      <w:hyperlink r:id="rId3">
        <w:r>
          <w:rPr>
            <w:rStyle w:val="Internetosaitas"/>
            <w:rFonts w:eastAsia="MS Mincho" w:cs="Times New Roman"/>
            <w:i/>
            <w:iCs/>
            <w:sz w:val="24"/>
            <w:szCs w:val="24"/>
          </w:rPr>
          <w:t>1 priedas</w:t>
        </w:r>
      </w:hyperlink>
      <w:r>
        <w:rPr>
          <w:rFonts w:eastAsia="MS Mincho"/>
        </w:rPr>
        <w:t>). 2 kartus per metus: iki birželio 15 d. ir gruodžio 15 d., Teikėjas gali teikti vertinimui ir akreditacijai ne daugiau kaip 2 NVŠ programas. Vienai programai pildoma viena paraiška, kuri skelbiama NŠPR.</w:t>
      </w:r>
    </w:p>
    <w:p>
      <w:pPr>
        <w:pStyle w:val="Normal"/>
        <w:tabs>
          <w:tab w:val="clear" w:pos="1296"/>
          <w:tab w:val="left" w:pos="792" w:leader="none"/>
        </w:tabs>
        <w:jc w:val="both"/>
        <w:rPr/>
      </w:pPr>
      <w:r>
        <w:rPr/>
        <w:tab/>
        <w:t>24. NVŠ programos registruojamos Savivaldybės administracijos Švietimo ir kultūros skyriuje ir teikiamos vertinti Savivaldybės administracijos direktoriaus įsakymu iš įvairių institucijų atstovų ir nepriklausomų vertintojų, turinčių patirties NVŠ srityje, sudarytai NVŠ programų vertinimo ir lėšų skirstymo komisijai, kuri nustato, ar NVŠ programa atitinka vertinimo kriterijus</w:t>
      </w:r>
    </w:p>
    <w:p>
      <w:pPr>
        <w:pStyle w:val="Normal"/>
        <w:tabs>
          <w:tab w:val="clear" w:pos="1296"/>
          <w:tab w:val="left" w:pos="792" w:leader="none"/>
        </w:tabs>
        <w:jc w:val="both"/>
        <w:rPr/>
      </w:pPr>
      <w:r>
        <w:rPr/>
        <w:t>(</w:t>
      </w:r>
      <w:hyperlink r:id="rId4">
        <w:r>
          <w:rPr>
            <w:rStyle w:val="Internetosaitas"/>
            <w:rFonts w:cs="Times New Roman"/>
            <w:sz w:val="24"/>
            <w:szCs w:val="24"/>
          </w:rPr>
          <w:t>2 priedas</w:t>
        </w:r>
      </w:hyperlink>
      <w:r>
        <w:rPr/>
        <w:t xml:space="preserve">), prioritetus ir gali būti finansuojama. Vieną programą vertina ne mažiau kaip du vertintojai. Vertinimas atliekamas ne vėliau kaip per mėnesį nuo paraiškos pateikimo datos. </w:t>
      </w:r>
    </w:p>
    <w:p>
      <w:pPr>
        <w:pStyle w:val="Normal"/>
        <w:tabs>
          <w:tab w:val="clear" w:pos="1296"/>
          <w:tab w:val="left" w:pos="792" w:leader="none"/>
        </w:tabs>
        <w:jc w:val="both"/>
        <w:rPr/>
      </w:pPr>
      <w:r>
        <w:rPr/>
        <w:tab/>
        <w:t>25. Savivaldybės administracijos direktorius, atsižvelgdamas į Komisijos siūlymą, įsakymu tvirtina:</w:t>
      </w:r>
    </w:p>
    <w:p>
      <w:pPr>
        <w:pStyle w:val="Normal"/>
        <w:tabs>
          <w:tab w:val="clear" w:pos="1296"/>
          <w:tab w:val="left" w:pos="792" w:leader="none"/>
        </w:tabs>
        <w:jc w:val="both"/>
        <w:rPr/>
      </w:pPr>
      <w:r>
        <w:rPr/>
        <w:tab/>
        <w:t>25.1. NVŠ programų akreditaciją, kurią Švietimo ir kultūros skyriaus atsakingas asmuo per tris darbo dienas pažymi NŠPR;</w:t>
      </w:r>
    </w:p>
    <w:p>
      <w:pPr>
        <w:pStyle w:val="Normal"/>
        <w:tabs>
          <w:tab w:val="clear" w:pos="1296"/>
          <w:tab w:val="left" w:pos="792" w:leader="none"/>
        </w:tabs>
        <w:jc w:val="both"/>
        <w:rPr/>
      </w:pPr>
      <w:r>
        <w:rPr/>
        <w:tab/>
        <w:t>25.2. lėšų paskirstymą NVŠ teikėjams pagal sutartinį mokinių skaičių.</w:t>
      </w:r>
    </w:p>
    <w:p>
      <w:pPr>
        <w:pStyle w:val="Normal"/>
        <w:tabs>
          <w:tab w:val="clear" w:pos="1296"/>
          <w:tab w:val="left" w:pos="792" w:leader="none"/>
        </w:tabs>
        <w:jc w:val="both"/>
        <w:rPr/>
      </w:pPr>
      <w:r>
        <w:rPr/>
        <w:tab/>
        <w:t>26. Akredituotos NVŠ programos skelbiamos Savivaldybės interneto svetainėje kartu su kvietimu vaikams, tėvams (globėjams, rūpintojams) registruotis į NVŠ programą.</w:t>
      </w:r>
    </w:p>
    <w:p>
      <w:pPr>
        <w:pStyle w:val="Normal"/>
        <w:tabs>
          <w:tab w:val="clear" w:pos="1296"/>
          <w:tab w:val="left" w:pos="792" w:leader="none"/>
          <w:tab w:val="left" w:pos="1134" w:leader="none"/>
        </w:tabs>
        <w:jc w:val="both"/>
        <w:rPr/>
      </w:pPr>
      <w:r>
        <w:rPr/>
        <w:tab/>
        <w:t xml:space="preserve">27. </w:t>
      </w:r>
      <w:r>
        <w:rPr>
          <w:color w:val="000000"/>
        </w:rPr>
        <w:t xml:space="preserve">Savivaldybės administracijos direktorius ir NVŠ teikėjas sudaro Neformaliojo vaikų švietimo lėšų skyrimo ir naudojimo sutartį (toliau – Sutartis), kurioje numatyti švietimo teikėjo įsipareigojimai, NVŠ programos  įgyvendinimo sąlygos ir atsakomybė už lėšų naudojimą ir ugdymo proceso organizavimą (sutarties forma patalpinta Savivaldybės svetainėje). </w:t>
      </w:r>
    </w:p>
    <w:p>
      <w:pPr>
        <w:pStyle w:val="Normal"/>
        <w:tabs>
          <w:tab w:val="clear" w:pos="1296"/>
          <w:tab w:val="left" w:pos="792" w:leader="none"/>
          <w:tab w:val="left" w:pos="1134" w:leader="none"/>
        </w:tabs>
        <w:ind w:firstLine="794"/>
        <w:jc w:val="both"/>
        <w:rPr/>
      </w:pPr>
      <w:r>
        <w:rPr/>
        <w:t>28. Teikėjas ugdymo sutartis (toliau – Ugdymo sutartis) su vaikų tėvais (globėjais, rūpintojais) pildo elektroniniu būdu pagal nurodytą formą (</w:t>
      </w:r>
      <w:hyperlink r:id="rId5">
        <w:r>
          <w:rPr>
            <w:rStyle w:val="Internetosaitas"/>
            <w:rFonts w:cs="Times New Roman"/>
            <w:sz w:val="24"/>
            <w:szCs w:val="24"/>
          </w:rPr>
          <w:t>3 priedas</w:t>
        </w:r>
      </w:hyperlink>
      <w:r>
        <w:rPr/>
        <w:t>) ir:</w:t>
      </w:r>
    </w:p>
    <w:p>
      <w:pPr>
        <w:pStyle w:val="Normal"/>
        <w:tabs>
          <w:tab w:val="clear" w:pos="1296"/>
          <w:tab w:val="left" w:pos="792" w:leader="none"/>
          <w:tab w:val="left" w:pos="1134" w:leader="none"/>
        </w:tabs>
        <w:ind w:firstLine="794"/>
        <w:jc w:val="both"/>
        <w:rPr/>
      </w:pPr>
      <w:r>
        <w:rPr/>
        <w:t>28.1. per 5 darbo dienas nuo Ugdymo sutarties pasirašymo registruoja vaikus Mokinių registre, pažymėdamas finansavimo NVŠ lėšomis požymį. Vaikams baigus programą, ar nusprendus joje nedalyvauti, Ugdymo sutartis nutraukiama. NVŠ teikėjas per 3 darbo dienas Mokinių registre pašalina įrašą apie vaiko dalyvavimą programoje;</w:t>
      </w:r>
    </w:p>
    <w:p>
      <w:pPr>
        <w:pStyle w:val="Normal"/>
        <w:tabs>
          <w:tab w:val="clear" w:pos="1296"/>
          <w:tab w:val="left" w:pos="732" w:leader="none"/>
          <w:tab w:val="left" w:pos="792" w:leader="none"/>
          <w:tab w:val="left" w:pos="1134" w:leader="none"/>
        </w:tabs>
        <w:ind w:firstLine="794"/>
        <w:jc w:val="both"/>
        <w:rPr/>
      </w:pPr>
      <w:r>
        <w:rPr/>
        <w:t>28.2. pasirašytas Ugdymo sutartis saugo, vadovaujantis Lietuvos Respublikos dokumentų ir archyvų įstatymu, Ikimokyklinio, priešmokyklinio, bendrojo ugdymo, kito vaikų neformaliojo ugdymo švietimo programų,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w:t>
      </w:r>
    </w:p>
    <w:p>
      <w:pPr>
        <w:pStyle w:val="Normal"/>
        <w:tabs>
          <w:tab w:val="clear" w:pos="1296"/>
          <w:tab w:val="left" w:pos="732" w:leader="none"/>
          <w:tab w:val="left" w:pos="792" w:leader="none"/>
          <w:tab w:val="left" w:pos="1134" w:leader="none"/>
        </w:tabs>
        <w:ind w:firstLine="794"/>
        <w:jc w:val="both"/>
        <w:rPr/>
      </w:pPr>
      <w:r>
        <w:rPr/>
        <w:t xml:space="preserve">28.3. popierines arba elektronines Ugdymo sutarčių kopijas teikia Savivaldybės administracijos Švietimo ir kultūros skyriaus atsakingam specialistui, kuris popierines Ugdymo  sutarčių kopijas suformuoja elektroniniu formatu ir visų sutarčių elektronines kopijas saugo švietimo portale </w:t>
      </w:r>
      <w:r>
        <w:rPr>
          <w:i/>
          <w:iCs/>
        </w:rPr>
        <w:t>emokykla.lt;</w:t>
      </w:r>
    </w:p>
    <w:p>
      <w:pPr>
        <w:pStyle w:val="Normal"/>
        <w:tabs>
          <w:tab w:val="clear" w:pos="1296"/>
          <w:tab w:val="left" w:pos="732" w:leader="none"/>
          <w:tab w:val="left" w:pos="792" w:leader="none"/>
          <w:tab w:val="left" w:pos="1134" w:leader="none"/>
        </w:tabs>
        <w:ind w:firstLine="794"/>
        <w:jc w:val="both"/>
        <w:rPr/>
      </w:pPr>
      <w:r>
        <w:rPr/>
        <w:t>29. Teikėjas:</w:t>
      </w:r>
    </w:p>
    <w:p>
      <w:pPr>
        <w:pStyle w:val="Normal"/>
        <w:tabs>
          <w:tab w:val="clear" w:pos="1296"/>
          <w:tab w:val="left" w:pos="732" w:leader="none"/>
          <w:tab w:val="left" w:pos="792" w:leader="none"/>
          <w:tab w:val="left" w:pos="1134" w:leader="none"/>
        </w:tabs>
        <w:ind w:firstLine="794"/>
        <w:jc w:val="both"/>
        <w:rPr/>
      </w:pPr>
      <w:r>
        <w:rPr/>
        <w:t>29.1. iki NVŠ programos vykdymo pradžios NŠPR pažymi NVŠ programos vykdymo vietą (nuotoliniu ugdymo atveju – skaitmeninę ugdymo platformą) ir laiką (pedagoginėmis valandomis). Duomenis apie veiklų vykdymą atnaujina pagal poreikį;</w:t>
      </w:r>
    </w:p>
    <w:p>
      <w:pPr>
        <w:pStyle w:val="Normal"/>
        <w:tabs>
          <w:tab w:val="clear" w:pos="1296"/>
          <w:tab w:val="left" w:pos="732" w:leader="none"/>
          <w:tab w:val="left" w:pos="792" w:leader="none"/>
          <w:tab w:val="left" w:pos="1134" w:leader="none"/>
        </w:tabs>
        <w:ind w:firstLine="794"/>
        <w:jc w:val="both"/>
        <w:rPr/>
      </w:pPr>
      <w:r>
        <w:rPr/>
        <w:t>29.2. kiekvieno mėnesio paskutinę darbo dieną suformuoja iš Mokinių registro NVŠ programoje dalyvaujančių mokinių sąrašą (skaičių), pagal kurį yra pervedami pinigai už vykdytą programą. Nuolat veda mokinių lankomumo žurnalą, kas 3 mėnesius teikia ataskaitas savivaldybės  administracijos Centralizuotai buhalterijai, Švietimo ir kultūros skyriui;</w:t>
      </w:r>
    </w:p>
    <w:p>
      <w:pPr>
        <w:pStyle w:val="Normal"/>
        <w:tabs>
          <w:tab w:val="clear" w:pos="1296"/>
          <w:tab w:val="left" w:pos="732" w:leader="none"/>
          <w:tab w:val="left" w:pos="792" w:leader="none"/>
          <w:tab w:val="left" w:pos="1134" w:leader="none"/>
        </w:tabs>
        <w:ind w:firstLine="794"/>
        <w:jc w:val="both"/>
        <w:rPr/>
      </w:pPr>
      <w:r>
        <w:rPr/>
        <w:t>29.3.</w:t>
      </w:r>
      <w:r>
        <w:rPr>
          <w:color w:val="000000"/>
        </w:rPr>
        <w:t xml:space="preserve"> programos vykdymo laikotarpiu, atsižvelgiant į karantino ar kitas ekstremalias situacijas, gali koreguoti ugdymo turinį ir trukmę.</w:t>
      </w:r>
    </w:p>
    <w:p>
      <w:pPr>
        <w:pStyle w:val="Normal"/>
        <w:tabs>
          <w:tab w:val="clear" w:pos="1296"/>
          <w:tab w:val="left" w:pos="792" w:leader="none"/>
        </w:tabs>
        <w:jc w:val="both"/>
        <w:rPr/>
      </w:pPr>
      <w:r>
        <w:rPr/>
        <w:tab/>
        <w:t xml:space="preserve">30. </w:t>
      </w:r>
      <w:r>
        <w:rPr>
          <w:color w:val="000000"/>
        </w:rPr>
        <w:t>NVŠ programa akredituojama 1 kalendoriniams metams, Teikėjo prašymu akreditacija gali būti pratęsiama dar 1 metams. Rekomenduojama, kad NVŠ programa kas dveji metai būtų atnaujinama, pakartotinai vertinama ir akredituojama.</w:t>
      </w:r>
    </w:p>
    <w:p>
      <w:pPr>
        <w:pStyle w:val="Normal"/>
        <w:tabs>
          <w:tab w:val="clear" w:pos="1296"/>
          <w:tab w:val="left" w:pos="793" w:leader="none"/>
        </w:tabs>
        <w:ind w:firstLine="850"/>
        <w:jc w:val="both"/>
        <w:rPr/>
      </w:pPr>
      <w:r>
        <w:rPr>
          <w:color w:val="000000"/>
        </w:rPr>
        <w:t xml:space="preserve">31. </w:t>
      </w:r>
      <w:r>
        <w:rPr>
          <w:color w:val="111111"/>
        </w:rPr>
        <w:t>NVŠ programos finansavimas gali būti panaikinamas Savivaldybės administracijos direktoriaus įsakymu dėl savivaldybės ir  Teikėjo Sutarties sąlygų nevykdymo.</w:t>
      </w:r>
    </w:p>
    <w:p>
      <w:pPr>
        <w:pStyle w:val="Normal"/>
        <w:tabs>
          <w:tab w:val="clear" w:pos="1296"/>
          <w:tab w:val="left" w:pos="852" w:leader="none"/>
          <w:tab w:val="left" w:pos="993" w:leader="none"/>
        </w:tabs>
        <w:jc w:val="both"/>
        <w:rPr/>
      </w:pPr>
      <w:r>
        <w:rPr/>
        <w:tab/>
        <w:t xml:space="preserve">32. </w:t>
      </w:r>
      <w:r>
        <w:rPr>
          <w:rFonts w:eastAsia="MS Mincho"/>
        </w:rPr>
        <w:t>Švietimo ir kultūros skyriaus atsakingas(-i) asmuo(-ys) vykdo NVŠ programų įgyvendinimo priežiūrą pagal NVŠ programos stebėsenos formą (</w:t>
      </w:r>
      <w:hyperlink r:id="rId6">
        <w:r>
          <w:rPr>
            <w:rStyle w:val="Internetosaitas"/>
            <w:rFonts w:eastAsia="MS Mincho" w:cs="Times New Roman"/>
            <w:sz w:val="24"/>
            <w:szCs w:val="24"/>
          </w:rPr>
          <w:t>4 priedas</w:t>
        </w:r>
      </w:hyperlink>
      <w:r>
        <w:rPr>
          <w:rFonts w:eastAsia="MS Mincho"/>
        </w:rPr>
        <w:t xml:space="preserve">) ir užtikrina programos vykdymo kokybę. </w:t>
      </w:r>
    </w:p>
    <w:p>
      <w:pPr>
        <w:pStyle w:val="Normal"/>
        <w:tabs>
          <w:tab w:val="clear" w:pos="1296"/>
          <w:tab w:val="left" w:pos="1134" w:leader="none"/>
        </w:tabs>
        <w:jc w:val="both"/>
        <w:rPr/>
      </w:pPr>
      <w:r>
        <w:rPr/>
        <w:t xml:space="preserve"> </w:t>
      </w:r>
    </w:p>
    <w:p>
      <w:pPr>
        <w:pStyle w:val="Normal"/>
        <w:jc w:val="center"/>
        <w:rPr/>
      </w:pPr>
      <w:r>
        <w:rPr>
          <w:b/>
        </w:rPr>
        <w:t>VII SKYRIUS</w:t>
      </w:r>
    </w:p>
    <w:p>
      <w:pPr>
        <w:pStyle w:val="Normal"/>
        <w:jc w:val="center"/>
        <w:rPr/>
      </w:pPr>
      <w:r>
        <w:rPr>
          <w:b/>
        </w:rPr>
        <w:t>ATSISKAITYMAS UŽ NVŠ LĖŠAS</w:t>
      </w:r>
    </w:p>
    <w:p>
      <w:pPr>
        <w:pStyle w:val="Normal"/>
        <w:tabs>
          <w:tab w:val="clear" w:pos="1296"/>
          <w:tab w:val="left" w:pos="426" w:leader="none"/>
        </w:tabs>
        <w:ind w:left="142" w:hanging="0"/>
        <w:rPr>
          <w:rFonts w:eastAsia="MS Mincho"/>
          <w:b/>
          <w:b/>
        </w:rPr>
      </w:pPr>
      <w:r>
        <w:rPr>
          <w:rFonts w:eastAsia="MS Mincho"/>
          <w:b/>
        </w:rPr>
      </w:r>
    </w:p>
    <w:p>
      <w:pPr>
        <w:pStyle w:val="Normal"/>
        <w:tabs>
          <w:tab w:val="clear" w:pos="1296"/>
          <w:tab w:val="left" w:pos="709" w:leader="none"/>
        </w:tabs>
        <w:jc w:val="both"/>
        <w:rPr/>
      </w:pPr>
      <w:r>
        <w:rPr>
          <w:b/>
        </w:rPr>
        <w:tab/>
      </w:r>
      <w:r>
        <w:rPr/>
        <w:t>33. Savivaldybė Teikėjams lėšas perveda pagal Sutartyje numatytas sąlygas ir Mokinių registre paskutinę mėnesio dieną registruotų mokinių skaičių. Mokinių registro NVŠ finansavimo išrašas saugomas.</w:t>
      </w:r>
    </w:p>
    <w:p>
      <w:pPr>
        <w:pStyle w:val="Normal"/>
        <w:ind w:firstLine="737"/>
        <w:jc w:val="both"/>
        <w:rPr/>
      </w:pPr>
      <w:r>
        <w:rPr>
          <w:color w:val="000000"/>
        </w:rPr>
        <w:t>34. Savivaldybė už panaudotas valstybės biudžeto NVŠ lėšas per 20 darbo dienų pasibaigus kalendoriniams metams Lietuvos Respublikos Švietimo, mokslo ir sporto ministerijos Buhalterinės apskaitos skyriui pateikia Lietuvos finansų ministro patvirtintą metinę biudžeto išlaidų sąmatos vykdymo ataskaitos formą Nr.2, patvirtintą Lietuvos Respublikos finansų ministro 2008 m. gruodžio 31 d. įsakymu Nr. 1K-465 „Dėl Valstybės ir savivaldybės biudžetinių įstaigų ir kitų subjektų žemesnio lygio vykdomo ataskaitų sudarymo taisyklių ir formų patvirtinimo“ (vieną –</w:t>
      </w:r>
    </w:p>
    <w:p>
      <w:pPr>
        <w:pStyle w:val="Normal"/>
        <w:jc w:val="both"/>
        <w:rPr/>
      </w:pPr>
      <w:r>
        <w:rPr>
          <w:color w:val="000000"/>
        </w:rPr>
        <w:t xml:space="preserve">Stovykloms finansuoti, antrą – NVŠ lėšoms (be lėšų stovykloms finansuoti)), banko išrašą arba laisvos formos pažymą apie lėšų likutį sąskaitoje. </w:t>
      </w:r>
    </w:p>
    <w:p>
      <w:pPr>
        <w:pStyle w:val="Normal"/>
        <w:ind w:firstLine="709"/>
        <w:jc w:val="both"/>
        <w:rPr/>
      </w:pPr>
      <w:r>
        <w:rPr/>
        <w:t>35. Iki kitų metų sausio 5 d. Savivaldybė skirtas ir nepanaudotas valstybės biudžeto NVŠ lėšas turi grąžinti į Ministerijos sąskaitą Nr. LT307300010002457205.</w:t>
      </w:r>
    </w:p>
    <w:p>
      <w:pPr>
        <w:pStyle w:val="Normal"/>
        <w:jc w:val="center"/>
        <w:rPr>
          <w:rFonts w:eastAsia="MS Mincho"/>
          <w:b/>
          <w:b/>
        </w:rPr>
      </w:pPr>
      <w:r>
        <w:rPr>
          <w:rFonts w:eastAsia="MS Mincho"/>
          <w:b/>
        </w:rPr>
      </w:r>
    </w:p>
    <w:p>
      <w:pPr>
        <w:pStyle w:val="Normal"/>
        <w:jc w:val="center"/>
        <w:rPr/>
      </w:pPr>
      <w:r>
        <w:rPr>
          <w:b/>
        </w:rPr>
        <w:t>VIII SKYRIUS</w:t>
      </w:r>
    </w:p>
    <w:p>
      <w:pPr>
        <w:pStyle w:val="Normal"/>
        <w:jc w:val="center"/>
        <w:rPr/>
      </w:pPr>
      <w:r>
        <w:rPr>
          <w:b/>
        </w:rPr>
        <w:t>BAIGIAMOSIOS NUOSTATOS</w:t>
      </w:r>
    </w:p>
    <w:p>
      <w:pPr>
        <w:pStyle w:val="Normal"/>
        <w:jc w:val="center"/>
        <w:rPr>
          <w:b/>
          <w:b/>
        </w:rPr>
      </w:pPr>
      <w:r>
        <w:rPr>
          <w:b/>
        </w:rPr>
      </w:r>
    </w:p>
    <w:p>
      <w:pPr>
        <w:pStyle w:val="Normal"/>
        <w:tabs>
          <w:tab w:val="clear" w:pos="1296"/>
          <w:tab w:val="left" w:pos="900" w:leader="none"/>
        </w:tabs>
        <w:ind w:firstLine="709"/>
        <w:jc w:val="both"/>
        <w:rPr/>
      </w:pPr>
      <w:r>
        <w:rPr/>
        <w:t xml:space="preserve">36. NVŠ programoms finansuoti gali būti naudojamos rėmėjų, tėvų ir kitos lėšos teisės aktų nustatyta tvarka. </w:t>
      </w:r>
    </w:p>
    <w:p>
      <w:pPr>
        <w:pStyle w:val="Normal"/>
        <w:tabs>
          <w:tab w:val="clear" w:pos="1296"/>
          <w:tab w:val="left" w:pos="900" w:leader="none"/>
        </w:tabs>
        <w:ind w:firstLine="709"/>
        <w:jc w:val="both"/>
        <w:rPr/>
      </w:pPr>
      <w:r>
        <w:rPr/>
        <w:t>37. Rekomenduojama, kad:</w:t>
      </w:r>
    </w:p>
    <w:p>
      <w:pPr>
        <w:pStyle w:val="Normal"/>
        <w:tabs>
          <w:tab w:val="clear" w:pos="1296"/>
          <w:tab w:val="left" w:pos="900" w:leader="none"/>
        </w:tabs>
        <w:ind w:firstLine="709"/>
        <w:jc w:val="both"/>
        <w:rPr/>
      </w:pPr>
      <w:r>
        <w:rPr/>
        <w:t xml:space="preserve">37.1. NVŠ programos būtų įgyvendinamos kuo arčiau vaiko gyvenamosios vietos ar mokyklos, kurioje jis mokosi; </w:t>
      </w:r>
    </w:p>
    <w:p>
      <w:pPr>
        <w:pStyle w:val="Normal"/>
        <w:tabs>
          <w:tab w:val="clear" w:pos="1296"/>
          <w:tab w:val="left" w:pos="900" w:leader="none"/>
        </w:tabs>
        <w:ind w:firstLine="709"/>
        <w:jc w:val="both"/>
        <w:rPr/>
      </w:pPr>
      <w:r>
        <w:rPr/>
        <w:t>37.2. į NVŠ programas būtų įtraukiama kuo daugiau vaikų, nelankančių jokių neformaliojo vaikų švietimo užsiėmimų po pamokų.</w:t>
      </w:r>
    </w:p>
    <w:p>
      <w:pPr>
        <w:pStyle w:val="Normal"/>
        <w:tabs>
          <w:tab w:val="clear" w:pos="1296"/>
          <w:tab w:val="left" w:pos="900" w:leader="none"/>
        </w:tabs>
        <w:ind w:firstLine="709"/>
        <w:jc w:val="both"/>
        <w:rPr/>
      </w:pPr>
      <w:r>
        <w:rPr/>
        <w:t xml:space="preserve">38. NVŠ programos būtų įgyvendinamos bendrojo ugdymo mokyklų, kultūros įstaigų ir kitose saugiose ir tam tikslui pritaikytose erdvėse laisvu nuo įstaigos naudojimo pagal tiesioginę paskirtį laiku. Teikėjai patalpas naudoja Savivaldybės tarybos nustatyta tvarka. </w:t>
      </w:r>
    </w:p>
    <w:p>
      <w:pPr>
        <w:pStyle w:val="Normal"/>
        <w:tabs>
          <w:tab w:val="clear" w:pos="1296"/>
          <w:tab w:val="left" w:pos="900" w:leader="none"/>
        </w:tabs>
        <w:ind w:firstLine="709"/>
        <w:jc w:val="both"/>
        <w:rPr/>
      </w:pPr>
      <w:r>
        <w:rPr/>
        <w:t>39. Administracijos Švietimo</w:t>
      </w:r>
      <w:r>
        <w:rPr>
          <w:color w:val="000000"/>
        </w:rPr>
        <w:t xml:space="preserve"> ir kultūros sk</w:t>
      </w:r>
      <w:r>
        <w:rPr/>
        <w:t>yriaus Švietimo registrų tvarkytojai ir kiti už NVŠ atsakingi specialistai konsultuoja asmenis Aprašo įgyvendinimo klausimais, padeda užpildyti duomenų registravimo formas, teikia kitą informacinę ir metodinę pagalbą švietimo teikėjams.</w:t>
      </w:r>
    </w:p>
    <w:p>
      <w:pPr>
        <w:pStyle w:val="Normal"/>
        <w:tabs>
          <w:tab w:val="clear" w:pos="1296"/>
          <w:tab w:val="left" w:pos="900" w:leader="none"/>
        </w:tabs>
        <w:jc w:val="center"/>
        <w:rPr/>
      </w:pPr>
      <w:r>
        <w:rPr/>
        <w:t>______________________</w:t>
      </w:r>
    </w:p>
    <w:p>
      <w:pPr>
        <w:pStyle w:val="Normal"/>
        <w:rPr/>
      </w:pPr>
      <w:r>
        <w:rPr/>
      </w:r>
    </w:p>
    <w:p>
      <w:pPr>
        <w:pStyle w:val="Normal"/>
        <w:rPr/>
      </w:pPr>
      <w:r>
        <w:rPr/>
      </w:r>
    </w:p>
    <w:sectPr>
      <w:headerReference w:type="default" r:id="rId7"/>
      <w:headerReference w:type="first" r:id="rId8"/>
      <w:type w:val="nextPage"/>
      <w:pgSz w:w="11906" w:h="16838"/>
      <w:pgMar w:left="1701" w:right="567" w:header="0" w:top="1134" w:footer="0" w:bottom="741"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Liberation Sans">
    <w:altName w:val="Arial"/>
    <w:charset w:val="ba"/>
    <w:family w:val="swiss"/>
    <w:pitch w:val="variable"/>
  </w:font>
  <w:font w:name="Liberation Sans">
    <w:altName w:val="Arial"/>
    <w:charset w:val="ba"/>
    <w:family w:val="roman"/>
    <w:pitch w:val="variable"/>
  </w:font>
  <w:font w:name="TimesLT">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p>
    <w:pPr>
      <w:pStyle w:val="Normal"/>
      <w:jc w:val="center"/>
      <w:rPr/>
    </w:pPr>
    <w:r>
      <w:rPr/>
    </w:r>
  </w:p>
  <w:p>
    <w:pPr>
      <w:pStyle w:val="Normal"/>
      <w:jc w:val="center"/>
      <w:rPr/>
    </w:pPr>
    <w:r>
      <w:rPr/>
      <w:fldChar w:fldCharType="begin"/>
    </w:r>
    <w:r>
      <w:rPr/>
      <w:instrText>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displayBackgroundShape/>
  <w:revisionView w:insDel="0" w:formatting="0"/>
  <w:embedSystemFonts/>
  <w:defaultTabStop w:val="1296"/>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eastAsia="zh-CN" w:val="lt-LT" w:bidi="ar-SA"/>
    </w:rPr>
  </w:style>
  <w:style w:type="paragraph" w:styleId="Antrat2">
    <w:name w:val="Heading 2"/>
    <w:basedOn w:val="Normal"/>
    <w:next w:val="Normal"/>
    <w:qFormat/>
    <w:pPr>
      <w:keepNext w:val="true"/>
      <w:outlineLvl w:val="1"/>
    </w:pPr>
    <w:rPr>
      <w:rFonts w:eastAsia="Arial Unicode MS"/>
      <w:szCs w:val="20"/>
    </w:rPr>
  </w:style>
  <w:style w:type="paragraph" w:styleId="Antrat3">
    <w:name w:val="Heading 3"/>
    <w:basedOn w:val="Normal"/>
    <w:next w:val="Normal"/>
    <w:qFormat/>
    <w:pPr>
      <w:keepNext w:val="true"/>
      <w:jc w:val="center"/>
      <w:outlineLvl w:val="2"/>
    </w:pPr>
    <w:rPr>
      <w:b/>
      <w:caps/>
      <w:sz w:val="22"/>
    </w:rPr>
  </w:style>
  <w:style w:type="paragraph" w:styleId="Antrat4">
    <w:name w:val="Heading 4"/>
    <w:basedOn w:val="Normal"/>
    <w:next w:val="Normal"/>
    <w:qFormat/>
    <w:pPr>
      <w:keepNext w:val="true"/>
      <w:jc w:val="center"/>
      <w:outlineLvl w:val="3"/>
    </w:pPr>
    <w:rPr>
      <w:rFonts w:eastAsia="Arial Unicode MS"/>
      <w:b/>
      <w:szCs w:val="20"/>
    </w:rPr>
  </w:style>
  <w:style w:type="paragraph" w:styleId="Antrat5">
    <w:name w:val="Heading 5"/>
    <w:basedOn w:val="Normal"/>
    <w:next w:val="Normal"/>
    <w:qFormat/>
    <w:pPr>
      <w:keepNext w:val="true"/>
      <w:spacing w:lineRule="auto" w:line="480"/>
      <w:jc w:val="center"/>
      <w:outlineLvl w:val="4"/>
    </w:pPr>
    <w:rPr>
      <w:rFonts w:eastAsia="Arial Unicode MS"/>
      <w:szCs w:val="20"/>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WW8Num2z0" w:customStyle="1">
    <w:name w:val="WW8Num2z0"/>
    <w:qFormat/>
    <w:rPr>
      <w:rFonts w:ascii="Symbol" w:hAnsi="Symbol" w:cs="Symbol"/>
      <w:sz w:val="18"/>
      <w:szCs w:val="18"/>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Antrat2Diagrama" w:customStyle="1">
    <w:name w:val="Antraštė 2 Diagrama"/>
    <w:qFormat/>
    <w:rPr>
      <w:rFonts w:ascii="Times New Roman" w:hAnsi="Times New Roman" w:eastAsia="Arial Unicode MS" w:cs="Times New Roman"/>
      <w:sz w:val="24"/>
      <w:szCs w:val="20"/>
    </w:rPr>
  </w:style>
  <w:style w:type="character" w:styleId="Antrat3Diagrama" w:customStyle="1">
    <w:name w:val="Antraštė 3 Diagrama"/>
    <w:qFormat/>
    <w:rPr>
      <w:rFonts w:ascii="Times New Roman" w:hAnsi="Times New Roman" w:eastAsia="Times New Roman" w:cs="Times New Roman"/>
      <w:b/>
      <w:caps/>
      <w:szCs w:val="24"/>
    </w:rPr>
  </w:style>
  <w:style w:type="character" w:styleId="Antrat4Diagrama" w:customStyle="1">
    <w:name w:val="Antraštė 4 Diagrama"/>
    <w:qFormat/>
    <w:rPr>
      <w:rFonts w:ascii="Times New Roman" w:hAnsi="Times New Roman" w:eastAsia="Arial Unicode MS" w:cs="Times New Roman"/>
      <w:b/>
      <w:sz w:val="24"/>
      <w:szCs w:val="20"/>
    </w:rPr>
  </w:style>
  <w:style w:type="character" w:styleId="Antrat5Diagrama" w:customStyle="1">
    <w:name w:val="Antraštė 5 Diagrama"/>
    <w:qFormat/>
    <w:rPr>
      <w:rFonts w:ascii="Times New Roman" w:hAnsi="Times New Roman" w:eastAsia="Arial Unicode MS" w:cs="Times New Roman"/>
      <w:sz w:val="24"/>
      <w:szCs w:val="20"/>
    </w:rPr>
  </w:style>
  <w:style w:type="character" w:styleId="AntratsDiagrama" w:customStyle="1">
    <w:name w:val="Antraštės Diagrama"/>
    <w:qFormat/>
    <w:rPr>
      <w:rFonts w:ascii="Times New Roman" w:hAnsi="Times New Roman" w:eastAsia="Times New Roman" w:cs="Times New Roman"/>
      <w:szCs w:val="20"/>
    </w:rPr>
  </w:style>
  <w:style w:type="character" w:styleId="Internetosaitas" w:customStyle="1">
    <w:name w:val="Interneto saitas"/>
    <w:rPr>
      <w:color w:val="0563C1"/>
      <w:u w:val="single"/>
    </w:rPr>
  </w:style>
  <w:style w:type="character" w:styleId="PagrindiniotekstotraukaDiagrama" w:customStyle="1">
    <w:name w:val="Pagrindinio teksto įtrauka Diagrama"/>
    <w:qFormat/>
    <w:rPr>
      <w:rFonts w:ascii="Times New Roman" w:hAnsi="Times New Roman" w:eastAsia="Times New Roman" w:cs="Times New Roman"/>
      <w:sz w:val="24"/>
      <w:szCs w:val="24"/>
    </w:rPr>
  </w:style>
  <w:style w:type="character" w:styleId="PagrindinistekstasDiagrama" w:customStyle="1">
    <w:name w:val="Pagrindinis tekstas Diagrama"/>
    <w:qFormat/>
    <w:rPr>
      <w:rFonts w:ascii="Times New Roman" w:hAnsi="Times New Roman" w:eastAsia="Andale Sans UI" w:cs="Times New Roman"/>
      <w:kern w:val="2"/>
      <w:sz w:val="24"/>
      <w:szCs w:val="24"/>
      <w:lang w:eastAsia="zh-CN"/>
    </w:rPr>
  </w:style>
  <w:style w:type="character" w:styleId="PoratDiagrama" w:customStyle="1">
    <w:name w:val="Poraštė Diagrama"/>
    <w:qFormat/>
    <w:rPr>
      <w:rFonts w:ascii="Times New Roman" w:hAnsi="Times New Roman" w:eastAsia="Times New Roman" w:cs="Times New Roman"/>
      <w:sz w:val="24"/>
      <w:szCs w:val="24"/>
    </w:rPr>
  </w:style>
  <w:style w:type="character" w:styleId="Numeravimosimboliai" w:customStyle="1">
    <w:name w:val="Numeravimo simboliai"/>
    <w:qFormat/>
    <w:rPr/>
  </w:style>
  <w:style w:type="character" w:styleId="UnresolvedMention1" w:customStyle="1">
    <w:name w:val="Unresolved Mention1"/>
    <w:qFormat/>
    <w:rPr>
      <w:color w:val="605E5C"/>
      <w:shd w:fill="E1DFDD" w:val="clear"/>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next w:val="NoSpacing"/>
    <w:pPr>
      <w:widowControl w:val="false"/>
      <w:spacing w:before="0" w:after="120"/>
    </w:pPr>
    <w:rPr>
      <w:rFonts w:eastAsia="Andale Sans UI"/>
      <w:kern w:val="2"/>
    </w:rPr>
  </w:style>
  <w:style w:type="paragraph" w:styleId="Sraas">
    <w:name w:val="List"/>
    <w:basedOn w:val="NoSpacing"/>
    <w:next w:val="Puslapinporat"/>
    <w:pPr/>
    <w:rPr>
      <w:rFonts w:cs="Lucida Sans"/>
    </w:rPr>
  </w:style>
  <w:style w:type="paragraph" w:styleId="Pavadinimas" w:customStyle="1">
    <w:name w:val="Caption"/>
    <w:basedOn w:val="Normal"/>
    <w:next w:val="NoSpacing"/>
    <w:qFormat/>
    <w:pPr>
      <w:suppressLineNumbers/>
      <w:spacing w:before="120" w:after="120"/>
    </w:pPr>
    <w:rPr>
      <w:rFonts w:cs="Lucida Sans"/>
      <w:i/>
      <w:iCs/>
    </w:rPr>
  </w:style>
  <w:style w:type="paragraph" w:styleId="Rodykl" w:customStyle="1">
    <w:name w:val="Rodyklė"/>
    <w:basedOn w:val="Normal"/>
    <w:qFormat/>
    <w:pPr>
      <w:suppressLineNumbers/>
    </w:pPr>
    <w:rPr>
      <w:rFonts w:cs="Lucida Sans"/>
    </w:rPr>
  </w:style>
  <w:style w:type="paragraph" w:styleId="Antrat21" w:customStyle="1">
    <w:name w:val="Antraštė2"/>
    <w:basedOn w:val="Normal"/>
    <w:next w:val="Pagrindinistekstas"/>
    <w:qFormat/>
    <w:pPr>
      <w:suppressLineNumbers/>
      <w:spacing w:before="120" w:after="120"/>
    </w:pPr>
    <w:rPr>
      <w:rFonts w:cs="Lucida Sans"/>
      <w:i/>
      <w:iCs/>
    </w:rPr>
  </w:style>
  <w:style w:type="paragraph" w:styleId="Caption">
    <w:name w:val="caption"/>
    <w:basedOn w:val="Normal"/>
    <w:qFormat/>
    <w:pPr>
      <w:suppressLineNumbers/>
      <w:spacing w:before="120" w:after="120"/>
    </w:pPr>
    <w:rPr>
      <w:rFonts w:cs="Lucida Sans"/>
      <w:i/>
      <w:iCs/>
    </w:rPr>
  </w:style>
  <w:style w:type="paragraph" w:styleId="NoSpacing" w:customStyle="1">
    <w:name w:val="No Spacing"/>
    <w:qFormat/>
    <w:pPr>
      <w:widowControl w:val="false"/>
      <w:suppressAutoHyphens w:val="true"/>
      <w:bidi w:val="0"/>
      <w:jc w:val="left"/>
    </w:pPr>
    <w:rPr>
      <w:rFonts w:eastAsia="Andale Sans UI" w:ascii="Times New Roman" w:hAnsi="Times New Roman" w:cs="Times New Roman"/>
      <w:color w:val="00000A"/>
      <w:kern w:val="2"/>
      <w:sz w:val="24"/>
      <w:szCs w:val="24"/>
      <w:lang w:eastAsia="zh-CN" w:val="lt-LT" w:bidi="ar-SA"/>
    </w:rPr>
  </w:style>
  <w:style w:type="paragraph" w:styleId="Antrat1" w:customStyle="1">
    <w:name w:val="Antraštė1"/>
    <w:basedOn w:val="Normal"/>
    <w:next w:val="NoSpacing"/>
    <w:qFormat/>
    <w:pPr>
      <w:keepNext w:val="true"/>
      <w:spacing w:before="240" w:after="120"/>
    </w:pPr>
    <w:rPr>
      <w:rFonts w:ascii="Liberation Sans" w:hAnsi="Liberation Sans" w:eastAsia="Microsoft YaHei" w:cs="Lucida Sans"/>
      <w:sz w:val="28"/>
      <w:szCs w:val="28"/>
    </w:rPr>
  </w:style>
  <w:style w:type="paragraph" w:styleId="Puslapinantratirporat" w:customStyle="1">
    <w:name w:val="Puslapinė antraštė ir poraštė"/>
    <w:basedOn w:val="Normal"/>
    <w:qFormat/>
    <w:pPr>
      <w:suppressLineNumbers/>
      <w:tabs>
        <w:tab w:val="clear" w:pos="1296"/>
        <w:tab w:val="center" w:pos="4819" w:leader="none"/>
        <w:tab w:val="right" w:pos="9638" w:leader="none"/>
      </w:tabs>
    </w:pPr>
    <w:rPr/>
  </w:style>
  <w:style w:type="paragraph" w:styleId="Puslapinantrat">
    <w:name w:val="Header"/>
    <w:basedOn w:val="Normal"/>
    <w:pPr>
      <w:widowControl w:val="false"/>
    </w:pPr>
    <w:rPr>
      <w:sz w:val="22"/>
      <w:szCs w:val="20"/>
    </w:rPr>
  </w:style>
  <w:style w:type="paragraph" w:styleId="Pagrindiniotekstotrauka">
    <w:name w:val="Body Text Indent"/>
    <w:basedOn w:val="Normal"/>
    <w:pPr>
      <w:ind w:firstLine="720"/>
    </w:pPr>
    <w:rPr/>
  </w:style>
  <w:style w:type="paragraph" w:styleId="Hyperlink1" w:customStyle="1">
    <w:name w:val="Hyperlink1"/>
    <w:qFormat/>
    <w:pPr>
      <w:widowControl/>
      <w:suppressAutoHyphens w:val="true"/>
      <w:bidi w:val="0"/>
      <w:ind w:firstLine="312"/>
      <w:jc w:val="both"/>
    </w:pPr>
    <w:rPr>
      <w:rFonts w:ascii="TimesLT" w:hAnsi="TimesLT" w:cs="TimesLT" w:eastAsia="Times New Roman"/>
      <w:color w:val="00000A"/>
      <w:kern w:val="2"/>
      <w:sz w:val="24"/>
      <w:szCs w:val="20"/>
      <w:lang w:val="en-US" w:eastAsia="zh-CN" w:bidi="ar-SA"/>
    </w:rPr>
  </w:style>
  <w:style w:type="paragraph" w:styleId="Puslapinporat">
    <w:name w:val="Footer"/>
    <w:basedOn w:val="Normal"/>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mir.smm.lt/" TargetMode="External"/><Relationship Id="rId3" Type="http://schemas.openxmlformats.org/officeDocument/2006/relationships/hyperlink" Target="../../../../../%5C%5C192.168.0.28%5Cprojektai$%5CTarybos_projektai_2011-2018%5C2019%20metai%5CVasario-21%5CRegistruoti%5CSVI07tvarkos_priedas1.docx" TargetMode="External"/><Relationship Id="rId4" Type="http://schemas.openxmlformats.org/officeDocument/2006/relationships/hyperlink" Target="../../../../../%5C%5C192.168.0.28%5Cprojektai$%5CTarybos_projektai_2011-2018%5C2019%20metai%5CVasario-21%5CRegistruoti%5CSVI07tvarkos_priedas2.docx" TargetMode="External"/><Relationship Id="rId5" Type="http://schemas.openxmlformats.org/officeDocument/2006/relationships/hyperlink" Target="../../../../../%5C%5C192.168.0.28%5Cprojektai$%5CTarybos_projektai_2011-2018%5C2019%20metai%5CVasario-21%5CRegistruoti%5CSVI07tvarkos_priedas3.docx" TargetMode="External"/><Relationship Id="rId6" Type="http://schemas.openxmlformats.org/officeDocument/2006/relationships/hyperlink" Target="../../../../../%5C%5C192.168.0.28%5Cprojektai$%5CTarybos_projektai_2011-2018%5C2019%20metai%5CVasario-21%5CRegistruoti%5CSVI07tvarkos_priedas4.doc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LibreOffice/6.3.3.2$Windows_x86 LibreOffice_project/a64200df03143b798afd1ec74a12ab50359878ed</Application>
  <Pages>5</Pages>
  <Words>9744</Words>
  <Characters>5555</Characters>
  <CharactersWithSpaces>15269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2021-04-28T06:44:00Z</dcterms:created>
  <dc:creator>ŠILUTĖS RAJONO SAVIVALDYBĖS TARYBA</dc:creator>
  <dc:description/>
  <dc:language>lt-LT</dc:language>
  <cp:lastModifiedBy>Taryba_JT</cp:lastModifiedBy>
  <cp:lastPrinted>1995-11-21T14:41:00Z</cp:lastPrinted>
  <dcterms:modified xsi:type="dcterms:W3CDTF">2021-04-28T06:44:00Z</dcterms:modified>
  <cp:revision>2</cp:revision>
  <dc:subject>T1-889</dc:subject>
  <dc:title>DĖL NEFORMALIOJO VAIKŲ ŠVIETIMO LĖŠŲ SKYRIMO IR PANAUDOJIMO TVARKOS APRAŠO PATVIRTINIMO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