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6237"/>
        <w:rPr>
          <w:szCs w:val="24"/>
          <w:lang w:val="en-US" w:eastAsia="lt-LT"/>
        </w:rPr>
      </w:pPr>
      <w:r>
        <w:rPr>
          <w:szCs w:val="24"/>
          <w:lang w:val="en-US" w:eastAsia="lt-LT"/>
        </w:rPr>
        <w:t>Neformaliojo vaikų švietimo</w:t>
      </w:r>
    </w:p>
    <w:p>
      <w:pPr>
        <w:pStyle w:val="Normal"/>
        <w:ind w:firstLine="6237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lėšų skyrimo ir panaudojimo </w:t>
      </w:r>
    </w:p>
    <w:p>
      <w:pPr>
        <w:pStyle w:val="Normal"/>
        <w:ind w:firstLine="6237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tvarkos aprašo  </w:t>
      </w:r>
      <w:r>
        <w:rPr>
          <w:b/>
          <w:szCs w:val="24"/>
          <w:lang w:eastAsia="lt-LT"/>
        </w:rPr>
        <w:t>2 priedas</w:t>
      </w:r>
    </w:p>
    <w:p>
      <w:pPr>
        <w:pStyle w:val="Normal"/>
        <w:ind w:firstLine="62"/>
        <w:jc w:val="center"/>
        <w:rPr>
          <w:szCs w:val="24"/>
          <w:lang w:val="en-US" w:eastAsia="lt-LT"/>
        </w:rPr>
      </w:pPr>
      <w:r>
        <w:rPr>
          <w:szCs w:val="24"/>
          <w:lang w:val="en-US" w:eastAsia="lt-LT"/>
        </w:rPr>
      </w:r>
    </w:p>
    <w:p>
      <w:pPr>
        <w:pStyle w:val="Normal"/>
        <w:jc w:val="center"/>
        <w:rPr>
          <w:szCs w:val="24"/>
          <w:lang w:val="en-US" w:eastAsia="lt-LT"/>
        </w:rPr>
      </w:pPr>
      <w:r>
        <w:rPr>
          <w:b/>
          <w:bCs/>
          <w:caps/>
          <w:szCs w:val="24"/>
          <w:lang w:eastAsia="lt-LT"/>
        </w:rPr>
        <w:t xml:space="preserve">Neformaliojo vaikų ŠVIETIMO programOS atitikties reikalavimams </w:t>
      </w:r>
    </w:p>
    <w:p>
      <w:pPr>
        <w:pStyle w:val="Normal"/>
        <w:jc w:val="center"/>
        <w:rPr>
          <w:szCs w:val="24"/>
          <w:lang w:val="en-US" w:eastAsia="lt-LT"/>
        </w:rPr>
      </w:pPr>
      <w:r>
        <w:rPr>
          <w:b/>
          <w:bCs/>
          <w:caps/>
          <w:szCs w:val="24"/>
          <w:lang w:eastAsia="lt-LT"/>
        </w:rPr>
        <w:t>VERTINIMO  FORMA</w:t>
      </w:r>
    </w:p>
    <w:p>
      <w:pPr>
        <w:pStyle w:val="Normal"/>
        <w:ind w:firstLine="62"/>
        <w:rPr>
          <w:szCs w:val="24"/>
          <w:lang w:val="en-US" w:eastAsia="lt-LT"/>
        </w:rPr>
      </w:pPr>
      <w:r>
        <w:rPr>
          <w:szCs w:val="24"/>
          <w:lang w:val="en-US" w:eastAsia="lt-LT"/>
        </w:rPr>
      </w:r>
    </w:p>
    <w:tbl>
      <w:tblPr>
        <w:tblW w:w="5000" w:type="pct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3"/>
        <w:gridCol w:w="3307"/>
        <w:gridCol w:w="2428"/>
      </w:tblGrid>
      <w:tr>
        <w:trPr>
          <w:trHeight w:val="457" w:hRule="atLeast"/>
        </w:trPr>
        <w:tc>
          <w:tcPr>
            <w:tcW w:w="3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Neformaliojo vaikų švietimo programos (toliau – NVŠ programos) teikėjas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NVŠ programos pavadinimas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Cs w:val="24"/>
                <w:lang w:val="en-US" w:eastAsia="lt-LT"/>
              </w:rPr>
              <w:t>NŠP</w:t>
            </w:r>
            <w:r>
              <w:rPr>
                <w:szCs w:val="24"/>
                <w:lang w:val="lt-LT" w:eastAsia="lt-LT"/>
              </w:rPr>
              <w:t>R</w:t>
            </w:r>
            <w:r>
              <w:rPr>
                <w:szCs w:val="24"/>
                <w:lang w:eastAsia="lt-LT"/>
              </w:rPr>
              <w:t xml:space="preserve"> programos kodas </w:t>
            </w:r>
          </w:p>
        </w:tc>
      </w:tr>
      <w:tr>
        <w:trPr>
          <w:trHeight w:val="312" w:hRule="atLeast"/>
        </w:trPr>
        <w:tc>
          <w:tcPr>
            <w:tcW w:w="3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  <w:p>
            <w:pPr>
              <w:pStyle w:val="Normal"/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</w:tbl>
    <w:p>
      <w:pPr>
        <w:pStyle w:val="Normal"/>
        <w:ind w:firstLine="186"/>
        <w:rPr>
          <w:szCs w:val="24"/>
          <w:lang w:val="en-US" w:eastAsia="lt-LT"/>
        </w:rPr>
      </w:pPr>
      <w:r>
        <w:rPr>
          <w:szCs w:val="24"/>
          <w:lang w:val="en-US" w:eastAsia="lt-LT"/>
        </w:rPr>
      </w:r>
    </w:p>
    <w:tbl>
      <w:tblPr>
        <w:tblW w:w="5000" w:type="pct"/>
        <w:jc w:val="left"/>
        <w:tblInd w:w="86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8"/>
        <w:gridCol w:w="1951"/>
        <w:gridCol w:w="3967"/>
        <w:gridCol w:w="1301"/>
      </w:tblGrid>
      <w:tr>
        <w:trPr>
          <w:trHeight w:val="518" w:hRule="atLeast"/>
        </w:trPr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Vertinimo kriterijus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left="34" w:hanging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Kriterijaus </w:t>
            </w:r>
          </w:p>
          <w:p>
            <w:pPr>
              <w:pStyle w:val="Normal"/>
              <w:ind w:left="34" w:hanging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rodiklis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Apibūdinimas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Vertinimas </w:t>
            </w:r>
          </w:p>
          <w:p>
            <w:pPr>
              <w:pStyle w:val="Normal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515" w:hRule="atLeast"/>
        </w:trPr>
        <w:tc>
          <w:tcPr>
            <w:tcW w:w="2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left="317" w:hanging="31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 NVŠ programos tikslingumas 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left="175" w:hanging="13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Prioritetai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Programa atitinka savivaldybės nustatytus prioritetus, jei tokie yra.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815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 Principai 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Teikėjas deklaruoja, kad, vykdant programą, bus vadovaujamasi NVŠ principais.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908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Tikslas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NVŠ programos tikslas formuluojamas aiškiai, atliepia programos visumą ir pagrindinę ugdomą kompetenciją. 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529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Uždaviniai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Uždaviniai konkretūs, atspindintys siekiamą rezultatą. 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1117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2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Teikėjas patvirtina, kad programos uždaviniai atitinka paraiškoje pateiktus bendruosius NVŠ programos uždavinius.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1601" w:hRule="atLeast"/>
        </w:trPr>
        <w:tc>
          <w:tcPr>
            <w:tcW w:w="2418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left="36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 Ugdymo turinys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left="34" w:hanging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 Temos ir veiklos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NVŠ programos sudėtinės dalys (temos) ir jas atskleisianti veikla siejasi su programos uždaviniais. Veiklų pobūdis ir trukmė subalansuoti (teorija ir praktika; fizinis aktyvumas ir protinė veikla, dvasinis tobulėjimas).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841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 Metodai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Atitinka numatytas ugdyti kompetencijas ir dera su NVŠ principais.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462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 Ugdomos kompetencijos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Įvardytos bendrosios (asmeninės, socialinės, iniciatyvumo ir kūrybingumo, komunikavimo, pažinimo, mokėjimo mokytis) kompetencijos.</w:t>
            </w:r>
          </w:p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Aiškiai suformuluotos dalykinės kompetencijos. Deklaruojamos kompetencijos dera su veiklų temomis ir pobūdžiu.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1404" w:hRule="atLeast"/>
        </w:trPr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left="317" w:hanging="31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 NVŠ programos apimtis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left="34" w:right="-250" w:hanging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Intensyvumas ir bendra trukmė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NVŠ programa nuosekli, orientuota į ilgalaikį ugdymą, veiklos neepizodinės, vykdoma mažiausia 2 pedagoginio darbo val. per savaitę, mažiausia 8 pedagoginio darbo val. per mėnesį.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515" w:hRule="atLeast"/>
        </w:trPr>
        <w:tc>
          <w:tcPr>
            <w:tcW w:w="2418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left="317" w:hanging="31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Informacija apie vaikus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firstLine="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 Vaikų amžius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Teikėjas numato, kokiai tikslinei grupei skiriama programa.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1034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 Grupės dydis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Numatomas grupės dydis atitinka veiklos metodus ir padeda pasiekti geriausią rezultatą.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840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 Galimybės vaikų iniciatyvai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Numatyta galimybė atsiskleisti iniciatyvai, priimti sprendimus, pasirinkti ugdymo metodus, koreguoti turinį ir pan.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659" w:hRule="atLeast"/>
        </w:trPr>
        <w:tc>
          <w:tcPr>
            <w:tcW w:w="2418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left="317" w:hanging="31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 Pažangos skatinimas ir vertinimas 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firstLine="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5.1. Pažangos skatinimas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Aprašyta, kokiais būdais vaikai bus motyvuojami dalyvauti programoje ir siekti pažangos.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671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5.2. Pažangos vertinimas (įsivertinimas)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Numatytas vaikų pažangos vertinimas, dalyvavimas įsivertinime.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797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5.3. Pasiekimų paliudijimas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Numatyta, kokiais būdais bus pažymimi pasiekimai, įgytos kompetencijos ir kokiomis priemonėmis jie galės būti paliudyti.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1094" w:hRule="atLeast"/>
        </w:trPr>
        <w:tc>
          <w:tcPr>
            <w:tcW w:w="2418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left="317" w:hanging="31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 Kokybė ir atsakomybė</w:t>
            </w:r>
          </w:p>
        </w:tc>
        <w:tc>
          <w:tcPr>
            <w:tcW w:w="1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right="13" w:firstLine="3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6.1. NVŠ mokytojų kvalifikacija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Programą įgyvendinančių NVŠ mokytojų išsilavinimas, patirtis ir kvalifikacija tinkami sėkmingam programos įgyvendinimui.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276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2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Teikėjas deklaruoja, kad programą įgyvendins asmenys, pagal Švietimo įstatymą turintys teisę dirbti NVŠ mokytojais.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1405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left="175" w:hanging="14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6.2. Mokymosi aplinka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Teikėjas deklaruoja, kad vaikai ugdysis sveikoje ir saugioje mokymo(si) aplinkoje ir kad turi tinkamos įrangos ir priemonių įgyvendinti NVŠ programą, turi lėšų NVŠ.</w:t>
            </w: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ind w:left="234"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1634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6.3. Kitos teikėjo atsakomybės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Teikėjas deklaruoja, kad turi lėšų NVŠ programos įgyvendinimo pradžiai ir kad, vykdant programą, bus laikomasi Neformaliojo vaikų švietimo programos atitikties reikalavimams paraiškos formos nuostatų.</w:t>
            </w:r>
          </w:p>
        </w:tc>
        <w:tc>
          <w:tcPr>
            <w:tcW w:w="13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  <w:tr>
        <w:trPr>
          <w:trHeight w:val="43" w:hRule="atLeast"/>
        </w:trPr>
        <w:tc>
          <w:tcPr>
            <w:tcW w:w="2418" w:type="dxa"/>
            <w:vMerge w:val="continue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1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  <w:tc>
          <w:tcPr>
            <w:tcW w:w="5918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3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22" w:type="dxa"/>
              <w:right w:w="0" w:type="dxa"/>
            </w:tcMar>
            <w:vAlign w:val="center"/>
          </w:tcPr>
          <w:p>
            <w:pPr>
              <w:pStyle w:val="Normal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</w:r>
          </w:p>
        </w:tc>
      </w:tr>
    </w:tbl>
    <w:p>
      <w:pPr>
        <w:pStyle w:val="Normal"/>
        <w:ind w:firstLine="60"/>
        <w:rPr>
          <w:b/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</w:r>
    </w:p>
    <w:p>
      <w:pPr>
        <w:pStyle w:val="Normal"/>
        <w:rPr>
          <w:b/>
          <w:b/>
          <w:bCs/>
          <w:szCs w:val="24"/>
          <w:lang w:eastAsia="lt-LT"/>
        </w:rPr>
      </w:pPr>
      <w:r>
        <w:rPr>
          <w:sz w:val="20"/>
          <w:lang w:eastAsia="lt-LT"/>
        </w:rPr>
        <w:t>(vertintojo vardas, pavardė)</w:t>
      </w:r>
      <w:r>
        <w:rPr>
          <w:szCs w:val="24"/>
          <w:lang w:val="en-US" w:eastAsia="lt-LT"/>
        </w:rPr>
        <w:t xml:space="preserve">                                                           </w:t>
      </w:r>
      <w:r>
        <w:rPr>
          <w:sz w:val="20"/>
          <w:lang w:eastAsia="lt-LT"/>
        </w:rPr>
        <w:t xml:space="preserve">                                                 </w:t>
      </w:r>
      <w:bookmarkStart w:id="0" w:name="_GoBack"/>
      <w:bookmarkEnd w:id="0"/>
      <w:r>
        <w:rPr>
          <w:sz w:val="20"/>
          <w:lang w:eastAsia="lt-LT"/>
        </w:rPr>
        <w:t xml:space="preserve">      (parašas)</w:t>
      </w:r>
    </w:p>
    <w:p>
      <w:pPr>
        <w:pStyle w:val="Normal"/>
        <w:jc w:val="center"/>
        <w:rPr>
          <w:sz w:val="20"/>
          <w:lang w:eastAsia="lt-LT"/>
        </w:rPr>
      </w:pPr>
      <w:r>
        <w:rPr>
          <w:sz w:val="20"/>
          <w:lang w:eastAsia="lt-LT"/>
        </w:rPr>
      </w:r>
    </w:p>
    <w:p>
      <w:pPr>
        <w:pStyle w:val="Normal"/>
        <w:jc w:val="center"/>
        <w:rPr/>
      </w:pPr>
      <w:r>
        <w:rPr>
          <w:sz w:val="20"/>
          <w:lang w:eastAsia="lt-LT"/>
        </w:rPr>
        <w:t>__________________________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7" w:header="567" w:top="624" w:footer="567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Cambria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por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por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rPr>
        <w:szCs w:val="22"/>
        <w:lang w:eastAsia="lt-LT"/>
      </w:rPr>
    </w:pPr>
    <w:r>
      <w:rPr>
        <w:szCs w:val="22"/>
        <w:lang w:eastAsia="lt-LT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antra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1fe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paragraph" w:styleId="Antrat1">
    <w:name w:val="Heading 1"/>
    <w:basedOn w:val="Normal"/>
    <w:next w:val="Normal"/>
    <w:link w:val="Antrat1Diagrama"/>
    <w:uiPriority w:val="9"/>
    <w:qFormat/>
    <w:rsid w:val="00f96053"/>
    <w:pPr>
      <w:keepNext w:val="true"/>
      <w:keepLines/>
      <w:spacing w:before="480" w:after="0"/>
      <w:ind w:firstLine="7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u w:val="none" w:color="000000"/>
      <w:lang w:eastAsia="lt-L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link w:val="Antrat1"/>
    <w:uiPriority w:val="9"/>
    <w:qFormat/>
    <w:rsid w:val="00f9605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u w:val="none" w:color="000000"/>
      <w:lang w:eastAsia="lt-LT"/>
    </w:rPr>
  </w:style>
  <w:style w:type="character" w:styleId="AntratsDiagrama" w:customStyle="1">
    <w:name w:val="Antraštės Diagrama"/>
    <w:basedOn w:val="DefaultParagraphFont"/>
    <w:link w:val="Antrats"/>
    <w:uiPriority w:val="99"/>
    <w:qFormat/>
    <w:rsid w:val="00d71fe9"/>
    <w:rPr>
      <w:rFonts w:eastAsia="" w:eastAsiaTheme="minorEastAsia"/>
      <w:lang w:val="en-US"/>
    </w:rPr>
  </w:style>
  <w:style w:type="character" w:styleId="AntratsDiagrama1" w:customStyle="1">
    <w:name w:val="Antraštės Diagrama1"/>
    <w:basedOn w:val="DefaultParagraphFont"/>
    <w:uiPriority w:val="99"/>
    <w:semiHidden/>
    <w:qFormat/>
    <w:rsid w:val="00d71fe9"/>
    <w:rPr>
      <w:rFonts w:ascii="Times New Roman" w:hAnsi="Times New Roman" w:eastAsia="Times New Roman" w:cs="Times New Roman"/>
      <w:sz w:val="24"/>
      <w:szCs w:val="20"/>
    </w:rPr>
  </w:style>
  <w:style w:type="character" w:styleId="PoratDiagrama" w:customStyle="1">
    <w:name w:val="Poraštė Diagrama"/>
    <w:basedOn w:val="DefaultParagraphFont"/>
    <w:link w:val="Porat"/>
    <w:qFormat/>
    <w:rsid w:val="00d71fe9"/>
    <w:rPr>
      <w:rFonts w:ascii="Times New Roman" w:hAnsi="Times New Roman" w:eastAsia="Times New Roman" w:cs="Times New Roman"/>
      <w:sz w:val="24"/>
      <w:szCs w:val="20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f96053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Arial Unicode MS" w:cs="Arial Unicode MS"/>
      <w:color w:val="000000"/>
      <w:kern w:val="0"/>
      <w:sz w:val="20"/>
      <w:szCs w:val="20"/>
      <w:u w:val="none" w:color="000000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f96053"/>
    <w:pPr>
      <w:spacing w:before="0" w:after="0"/>
      <w:ind w:left="720" w:firstLine="720"/>
      <w:contextualSpacing/>
    </w:pPr>
    <w:rPr>
      <w:rFonts w:ascii="Arial" w:hAnsi="Arial" w:eastAsia="Arial Unicode MS" w:cs="Arial Unicode MS"/>
      <w:color w:val="000000"/>
      <w:sz w:val="20"/>
      <w:u w:val="none" w:color="000000"/>
      <w:lang w:eastAsia="lt-LT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Puslapinantrat">
    <w:name w:val="Header"/>
    <w:basedOn w:val="Normal"/>
    <w:link w:val="AntratsDiagrama"/>
    <w:uiPriority w:val="99"/>
    <w:unhideWhenUsed/>
    <w:rsid w:val="00d71fe9"/>
    <w:pPr>
      <w:tabs>
        <w:tab w:val="clear" w:pos="1296"/>
        <w:tab w:val="center" w:pos="4680" w:leader="none"/>
        <w:tab w:val="right" w:pos="9360" w:leader="none"/>
      </w:tabs>
    </w:pPr>
    <w:rPr>
      <w:rFonts w:ascii="Calibri" w:hAnsi="Calibri" w:eastAsia="" w:cs="" w:asciiTheme="minorHAnsi" w:cstheme="minorBidi" w:eastAsiaTheme="minorEastAsia" w:hAnsiTheme="minorHAnsi"/>
      <w:sz w:val="22"/>
      <w:szCs w:val="22"/>
      <w:lang w:val="en-US"/>
    </w:rPr>
  </w:style>
  <w:style w:type="paragraph" w:styleId="Puslapinporat">
    <w:name w:val="Footer"/>
    <w:basedOn w:val="Normal"/>
    <w:link w:val="PoratDiagrama"/>
    <w:rsid w:val="00d71fe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LibreOffice/6.3.3.2$Windows_x86 LibreOffice_project/a64200df03143b798afd1ec74a12ab50359878ed</Application>
  <Pages>2</Pages>
  <Words>2193</Words>
  <Characters>1251</Characters>
  <CharactersWithSpaces>3438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2019-01-07T11:57:00Z</dcterms:created>
  <dc:creator>Svietim_GM</dc:creator>
  <dc:description/>
  <dc:language>lt-LT</dc:language>
  <cp:lastModifiedBy/>
  <dcterms:modified xsi:type="dcterms:W3CDTF">2021-04-09T15:28:45Z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