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03F186FA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8827/0002:1</w:t>
      </w:r>
      <w:r w:rsidR="00B77DDD">
        <w:rPr>
          <w:b/>
          <w:bCs/>
          <w:color w:val="000000"/>
          <w:szCs w:val="24"/>
          <w:shd w:val="clear" w:color="auto" w:fill="FFFFFF"/>
        </w:rPr>
        <w:t>44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3, ESANČIO ŠILUTĖS RAJONO SAVIVALDYBĖJE, KINT</w:t>
      </w:r>
      <w:r w:rsidR="0016272A">
        <w:rPr>
          <w:b/>
          <w:bCs/>
          <w:color w:val="000000"/>
          <w:szCs w:val="24"/>
          <w:shd w:val="clear" w:color="auto" w:fill="FFFFFF"/>
        </w:rPr>
        <w:t>UOSE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527C8B2D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16272A" w:rsidRPr="00095A4F">
        <w:rPr>
          <w:szCs w:val="24"/>
        </w:rPr>
        <w:t>kovo</w:t>
      </w:r>
      <w:r w:rsidR="0095420E" w:rsidRPr="00095A4F">
        <w:rPr>
          <w:szCs w:val="24"/>
        </w:rPr>
        <w:t xml:space="preserve"> </w:t>
      </w:r>
      <w:r w:rsidR="00095A4F" w:rsidRPr="00095A4F">
        <w:rPr>
          <w:szCs w:val="24"/>
        </w:rPr>
        <w:t>5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679C4F0" w:rsidR="00DD1F44" w:rsidRPr="009F10B6" w:rsidRDefault="00340D9C" w:rsidP="00AB188A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B77DDD">
              <w:rPr>
                <w:color w:val="000000"/>
              </w:rPr>
              <w:t>E.P.</w:t>
            </w:r>
            <w:r w:rsidR="00DE5A7D">
              <w:rPr>
                <w:color w:val="000000"/>
              </w:rPr>
              <w:t xml:space="preserve"> 2023-</w:t>
            </w:r>
            <w:r w:rsidR="00B77DDD">
              <w:rPr>
                <w:color w:val="000000"/>
              </w:rPr>
              <w:t>02-27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Nr.R1-</w:t>
            </w:r>
            <w:r w:rsidR="00B77DDD">
              <w:rPr>
                <w:color w:val="000000"/>
              </w:rPr>
              <w:t>558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sklypo, esančio Šilutės r. sav., Kint</w:t>
            </w:r>
            <w:r w:rsidR="0016272A">
              <w:rPr>
                <w:color w:val="000000"/>
              </w:rPr>
              <w:t xml:space="preserve">uose,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2D5613B7" w:rsidR="00DD1F44" w:rsidRPr="00921A90" w:rsidRDefault="006E2ED8" w:rsidP="00AB188A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 xml:space="preserve">Valstybinė žemės ūkio paskirties žemė patenkanti į </w:t>
            </w:r>
            <w:r w:rsidR="00AB188A" w:rsidRPr="00046471">
              <w:t>Šilutės rajono</w:t>
            </w:r>
            <w:r w:rsidR="00AB188A">
              <w:t xml:space="preserve"> savivaldybės</w:t>
            </w:r>
            <w:r w:rsidR="00AB188A" w:rsidRPr="00046471">
              <w:t xml:space="preserve"> miesto ir miestelių </w:t>
            </w:r>
            <w:r w:rsidR="00AB188A">
              <w:t>teritorijas</w:t>
            </w:r>
            <w:r w:rsidR="001557A9">
              <w:t>,</w:t>
            </w:r>
            <w:r w:rsidR="00AB188A" w:rsidRPr="00046471">
              <w:t xml:space="preserve"> </w:t>
            </w:r>
            <w:r w:rsidRPr="00046471">
              <w:t xml:space="preserve">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B77DDD">
              <w:t>i</w:t>
            </w:r>
            <w:r w:rsidRPr="00046471">
              <w:t xml:space="preserve"> ne ilgesniam kaip 25 m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AB188A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AB188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3788CB8E" w:rsidR="00DD1F44" w:rsidRPr="0002068F" w:rsidRDefault="00AE2C20" w:rsidP="00AB188A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1557A9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AB188A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AB188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AB188A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AB188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AB188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AB188A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AB188A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B188A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B188A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AB188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AB188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AB188A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AB188A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AB188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AB188A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AB188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AB188A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AB188A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AB188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AB188A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AB188A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AB188A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AB188A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4C57FEB1" w:rsidR="00DD1F44" w:rsidRPr="00BC3842" w:rsidRDefault="00AB188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C81F" w14:textId="77777777" w:rsidR="00947891" w:rsidRDefault="00947891">
      <w:r>
        <w:separator/>
      </w:r>
    </w:p>
  </w:endnote>
  <w:endnote w:type="continuationSeparator" w:id="0">
    <w:p w14:paraId="530C986F" w14:textId="77777777" w:rsidR="00947891" w:rsidRDefault="0094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63E8" w14:textId="77777777" w:rsidR="00947891" w:rsidRDefault="00947891">
      <w:r>
        <w:separator/>
      </w:r>
    </w:p>
  </w:footnote>
  <w:footnote w:type="continuationSeparator" w:id="0">
    <w:p w14:paraId="69C7A562" w14:textId="77777777" w:rsidR="00947891" w:rsidRDefault="0094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557A9"/>
    <w:rsid w:val="0016272A"/>
    <w:rsid w:val="001C253E"/>
    <w:rsid w:val="00213F18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E44A1"/>
    <w:rsid w:val="00401D1E"/>
    <w:rsid w:val="00414014"/>
    <w:rsid w:val="0042230F"/>
    <w:rsid w:val="00432B09"/>
    <w:rsid w:val="004B0302"/>
    <w:rsid w:val="004C2C0A"/>
    <w:rsid w:val="004D3945"/>
    <w:rsid w:val="0055514A"/>
    <w:rsid w:val="005D1983"/>
    <w:rsid w:val="005D65CF"/>
    <w:rsid w:val="005D6F3A"/>
    <w:rsid w:val="006100CA"/>
    <w:rsid w:val="006137E9"/>
    <w:rsid w:val="0062788B"/>
    <w:rsid w:val="00631813"/>
    <w:rsid w:val="006B2F2B"/>
    <w:rsid w:val="006B670F"/>
    <w:rsid w:val="006E2ED8"/>
    <w:rsid w:val="007126CB"/>
    <w:rsid w:val="007171B9"/>
    <w:rsid w:val="00725FF9"/>
    <w:rsid w:val="0072744C"/>
    <w:rsid w:val="00737001"/>
    <w:rsid w:val="007975A8"/>
    <w:rsid w:val="007B3388"/>
    <w:rsid w:val="007E17CF"/>
    <w:rsid w:val="007E50F5"/>
    <w:rsid w:val="008561E2"/>
    <w:rsid w:val="00870339"/>
    <w:rsid w:val="008707AB"/>
    <w:rsid w:val="008A1957"/>
    <w:rsid w:val="008E5DCB"/>
    <w:rsid w:val="008E7D4A"/>
    <w:rsid w:val="008F3337"/>
    <w:rsid w:val="00904FBA"/>
    <w:rsid w:val="00921A90"/>
    <w:rsid w:val="0094087D"/>
    <w:rsid w:val="00947891"/>
    <w:rsid w:val="0095420E"/>
    <w:rsid w:val="00974D16"/>
    <w:rsid w:val="00981C0B"/>
    <w:rsid w:val="009B4FA3"/>
    <w:rsid w:val="009F10B6"/>
    <w:rsid w:val="00A02156"/>
    <w:rsid w:val="00A0756B"/>
    <w:rsid w:val="00A13AC5"/>
    <w:rsid w:val="00A216B0"/>
    <w:rsid w:val="00AB188A"/>
    <w:rsid w:val="00AD2E6E"/>
    <w:rsid w:val="00AE2C20"/>
    <w:rsid w:val="00B03E5C"/>
    <w:rsid w:val="00B4797C"/>
    <w:rsid w:val="00B55D2E"/>
    <w:rsid w:val="00B77DDD"/>
    <w:rsid w:val="00BB2CD1"/>
    <w:rsid w:val="00BC3842"/>
    <w:rsid w:val="00BD6CAD"/>
    <w:rsid w:val="00C97BEE"/>
    <w:rsid w:val="00CA002D"/>
    <w:rsid w:val="00CB06D8"/>
    <w:rsid w:val="00CB5CF9"/>
    <w:rsid w:val="00CC0093"/>
    <w:rsid w:val="00CD52E3"/>
    <w:rsid w:val="00CE139B"/>
    <w:rsid w:val="00CE709F"/>
    <w:rsid w:val="00D17D4A"/>
    <w:rsid w:val="00D2101A"/>
    <w:rsid w:val="00D3443B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A3209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AB18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B188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B188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2024-03-05T14:31:00Z</dcterms:created>
  <dcterms:modified xsi:type="dcterms:W3CDTF">2024-03-07T12:48:00Z</dcterms:modified>
</cp:coreProperties>
</file>