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107C043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B77DDD">
        <w:rPr>
          <w:b/>
          <w:bCs/>
          <w:color w:val="000000"/>
          <w:szCs w:val="24"/>
          <w:shd w:val="clear" w:color="auto" w:fill="FFFFFF"/>
        </w:rPr>
        <w:t>4</w:t>
      </w:r>
      <w:r w:rsidR="00A87D3A">
        <w:rPr>
          <w:b/>
          <w:bCs/>
          <w:color w:val="000000"/>
          <w:szCs w:val="24"/>
          <w:shd w:val="clear" w:color="auto" w:fill="FFFFFF"/>
        </w:rPr>
        <w:t>56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27C8B2D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6272A" w:rsidRPr="00095A4F">
        <w:rPr>
          <w:szCs w:val="24"/>
        </w:rPr>
        <w:t>kovo</w:t>
      </w:r>
      <w:r w:rsidR="0095420E" w:rsidRPr="00095A4F">
        <w:rPr>
          <w:szCs w:val="24"/>
        </w:rPr>
        <w:t xml:space="preserve"> </w:t>
      </w:r>
      <w:r w:rsidR="00095A4F" w:rsidRPr="00095A4F">
        <w:rPr>
          <w:szCs w:val="24"/>
        </w:rPr>
        <w:t>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1A2308">
        <w:tc>
          <w:tcPr>
            <w:tcW w:w="9628" w:type="dxa"/>
          </w:tcPr>
          <w:p w14:paraId="69E1DDBD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1A2308">
        <w:tc>
          <w:tcPr>
            <w:tcW w:w="9628" w:type="dxa"/>
          </w:tcPr>
          <w:p w14:paraId="609281EB" w14:textId="1B470430" w:rsidR="00DD1F44" w:rsidRPr="009F10B6" w:rsidRDefault="00340D9C" w:rsidP="001A2308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A87D3A">
              <w:rPr>
                <w:color w:val="000000"/>
              </w:rPr>
              <w:t>R.V.</w:t>
            </w:r>
            <w:r w:rsidR="00DE5A7D">
              <w:rPr>
                <w:color w:val="000000"/>
              </w:rPr>
              <w:t xml:space="preserve"> 2023-</w:t>
            </w:r>
            <w:r w:rsidR="00B77DDD">
              <w:rPr>
                <w:color w:val="000000"/>
              </w:rPr>
              <w:t>02-</w:t>
            </w:r>
            <w:r w:rsidR="00A87D3A">
              <w:rPr>
                <w:color w:val="000000"/>
              </w:rPr>
              <w:t>09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Nr.R</w:t>
            </w:r>
            <w:r w:rsidR="00A87D3A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A87D3A">
              <w:rPr>
                <w:color w:val="000000"/>
              </w:rPr>
              <w:t>359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(0,</w:t>
            </w:r>
            <w:r w:rsidR="00A87D3A">
              <w:rPr>
                <w:color w:val="000000"/>
              </w:rPr>
              <w:t>8838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</w:t>
            </w:r>
            <w:r w:rsidR="00A87D3A">
              <w:rPr>
                <w:color w:val="000000"/>
              </w:rPr>
              <w:t>56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1A2308">
        <w:tc>
          <w:tcPr>
            <w:tcW w:w="9628" w:type="dxa"/>
          </w:tcPr>
          <w:p w14:paraId="5C6BDBB9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1A2308">
        <w:trPr>
          <w:trHeight w:val="3511"/>
        </w:trPr>
        <w:tc>
          <w:tcPr>
            <w:tcW w:w="9628" w:type="dxa"/>
          </w:tcPr>
          <w:p w14:paraId="34AA4726" w14:textId="230FCD0B" w:rsidR="00DD1F44" w:rsidRPr="00921A90" w:rsidRDefault="001A2308" w:rsidP="001A2308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>
              <w:t>,</w:t>
            </w:r>
            <w:r w:rsidRPr="00046471">
              <w:t xml:space="preserve"> patenkanti į Šilutės rajono</w:t>
            </w:r>
            <w:r>
              <w:t xml:space="preserve"> savivaldybės</w:t>
            </w:r>
            <w:r w:rsidRPr="00046471">
              <w:t xml:space="preserve"> miesto ir miestelių </w:t>
            </w:r>
            <w:r w:rsidR="008B41E2">
              <w:t>teritorijas</w:t>
            </w:r>
            <w:r>
              <w:t>,</w:t>
            </w:r>
            <w:r w:rsidRPr="00046471">
              <w:t xml:space="preserve"> perduota patikėjimo teise valdyti Šilutės rajono savivaldybės administracijai. </w:t>
            </w:r>
            <w:r>
              <w:t>Remiantis Žemės įstatymo 9 straipsnio 1 dalies 1 punktu, s</w:t>
            </w:r>
            <w:r w:rsidRPr="002E31D7">
              <w:t>prendimą išnuomoti valstybinės žemės sklypą priima savivaldybės taryba, o valstybinės žemės nuomos sutartį sudaro meras arba jo įgaliotas savivaldy</w:t>
            </w:r>
            <w:r>
              <w:t xml:space="preserve">bės administracijos direktorius. </w:t>
            </w:r>
            <w:r w:rsidRPr="002A47F7">
              <w:t xml:space="preserve">Valstybiniai žemės ūkio paskirties žemės sklypai </w:t>
            </w:r>
            <w:r>
              <w:t xml:space="preserve">formuojami žemės reformos žemėtvarkos projektuose </w:t>
            </w:r>
            <w:r w:rsidRPr="002A47F7">
              <w:t>pagal</w:t>
            </w:r>
            <w:r>
              <w:t xml:space="preserve"> </w:t>
            </w:r>
            <w:r w:rsidRPr="002A47F7">
              <w:t>Žemės reformos įstatymo 10 straipsnio eiliškumą</w:t>
            </w:r>
            <w:r>
              <w:t xml:space="preserve"> ir išnuomojami ne aukciono būdu. R</w:t>
            </w:r>
            <w:r w:rsidRPr="00046471">
              <w:t>emiantis Žemės įstatymo 9 straipsnio 3 punktu</w:t>
            </w:r>
            <w:r>
              <w:t>,</w:t>
            </w:r>
            <w:r w:rsidRPr="00046471">
              <w:t xml:space="preserve"> valstybinė</w:t>
            </w:r>
            <w:r>
              <w:t>s</w:t>
            </w:r>
            <w:r w:rsidRPr="00046471">
              <w:t xml:space="preserve"> žemės ūkio paskirties žemė</w:t>
            </w:r>
            <w:r>
              <w:t>s sklypai</w:t>
            </w:r>
            <w:r w:rsidRPr="00046471">
              <w:t xml:space="preserve"> gali būti išnuomot</w:t>
            </w:r>
            <w:r>
              <w:t>i</w:t>
            </w:r>
            <w:r w:rsidRPr="00046471">
              <w:t xml:space="preserve"> ne ilgesniam kaip 25 m</w:t>
            </w:r>
            <w:r>
              <w:t>.</w:t>
            </w:r>
            <w:r w:rsidRPr="00046471">
              <w:t xml:space="preserve"> laikotarpiui, tačiau atsižvelgiant į tai, kad miestelių teritorij</w:t>
            </w:r>
            <w:r>
              <w:t>oje esanti valstybinė žemė</w:t>
            </w:r>
            <w:r w:rsidRPr="00046471">
              <w:t xml:space="preserve"> yra </w:t>
            </w:r>
            <w:r>
              <w:t>priskirta ne žemės ūkio veiklai vykdyti, žemės sklypas išnuomojamas 5 metams.</w:t>
            </w:r>
          </w:p>
        </w:tc>
      </w:tr>
      <w:tr w:rsidR="00DD1F44" w:rsidRPr="0002068F" w14:paraId="3191BEF2" w14:textId="77777777" w:rsidTr="001A2308">
        <w:tc>
          <w:tcPr>
            <w:tcW w:w="9628" w:type="dxa"/>
          </w:tcPr>
          <w:p w14:paraId="3A4D6D5D" w14:textId="77777777" w:rsidR="00DD1F44" w:rsidRPr="0002068F" w:rsidRDefault="00DD1F44" w:rsidP="001A2308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1A2308">
        <w:tc>
          <w:tcPr>
            <w:tcW w:w="9628" w:type="dxa"/>
          </w:tcPr>
          <w:p w14:paraId="3F5708B4" w14:textId="276C05AC" w:rsidR="00DD1F44" w:rsidRPr="0002068F" w:rsidRDefault="001A2308" w:rsidP="001A230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>
              <w:rPr>
                <w:szCs w:val="24"/>
              </w:rPr>
              <w:t>valstybinės žemės, kurios patikėtinė yra Šilutės rajono savivaldybė, nuomos sutarčių sudarymas ir administravimas.</w:t>
            </w:r>
          </w:p>
        </w:tc>
      </w:tr>
      <w:tr w:rsidR="00DD1F44" w:rsidRPr="0002068F" w14:paraId="7DAB720E" w14:textId="77777777" w:rsidTr="001A2308">
        <w:tc>
          <w:tcPr>
            <w:tcW w:w="9628" w:type="dxa"/>
          </w:tcPr>
          <w:p w14:paraId="5758C9E1" w14:textId="77777777" w:rsidR="00DD1F44" w:rsidRPr="0002068F" w:rsidRDefault="00DD1F44" w:rsidP="001A2308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1A2308">
        <w:tc>
          <w:tcPr>
            <w:tcW w:w="9628" w:type="dxa"/>
          </w:tcPr>
          <w:p w14:paraId="35437175" w14:textId="0DECBB1A" w:rsidR="00DD1F44" w:rsidRPr="0002068F" w:rsidRDefault="00D6307F" w:rsidP="001A2308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1A2308">
        <w:tc>
          <w:tcPr>
            <w:tcW w:w="9628" w:type="dxa"/>
          </w:tcPr>
          <w:p w14:paraId="6086B1DE" w14:textId="77777777" w:rsidR="00DD1F44" w:rsidRPr="00BD6CAD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1A2308">
        <w:tc>
          <w:tcPr>
            <w:tcW w:w="9628" w:type="dxa"/>
          </w:tcPr>
          <w:p w14:paraId="3182C9B8" w14:textId="3DFE54CC" w:rsidR="006B670F" w:rsidRDefault="006B670F" w:rsidP="001A2308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1A2308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1A2308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1A2308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1A2308">
        <w:tc>
          <w:tcPr>
            <w:tcW w:w="9628" w:type="dxa"/>
          </w:tcPr>
          <w:p w14:paraId="3F7FC4EF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1A2308">
        <w:tc>
          <w:tcPr>
            <w:tcW w:w="9628" w:type="dxa"/>
          </w:tcPr>
          <w:p w14:paraId="57026F33" w14:textId="2A436373" w:rsidR="00DD1F44" w:rsidRPr="0002068F" w:rsidRDefault="00DE5A7D" w:rsidP="001A2308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1A2308">
        <w:tc>
          <w:tcPr>
            <w:tcW w:w="9628" w:type="dxa"/>
          </w:tcPr>
          <w:p w14:paraId="6DE2A95D" w14:textId="77777777" w:rsidR="00DD1F44" w:rsidRPr="00A216B0" w:rsidRDefault="00DD1F44" w:rsidP="001A2308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1A2308">
        <w:tc>
          <w:tcPr>
            <w:tcW w:w="9628" w:type="dxa"/>
          </w:tcPr>
          <w:p w14:paraId="41899A4B" w14:textId="1D2112F1" w:rsidR="00DD1F44" w:rsidRPr="00A216B0" w:rsidRDefault="00D6307F" w:rsidP="001A2308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1A2308" w:rsidRPr="0002068F" w14:paraId="46A79F98" w14:textId="77777777" w:rsidTr="001A2308">
        <w:tc>
          <w:tcPr>
            <w:tcW w:w="9628" w:type="dxa"/>
          </w:tcPr>
          <w:p w14:paraId="4E446DB7" w14:textId="77777777" w:rsidR="001A2308" w:rsidRPr="0002068F" w:rsidRDefault="001A2308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3231DDAC" w:rsidR="001A2308" w:rsidRPr="0002068F" w:rsidRDefault="001A2308" w:rsidP="001A2308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1A2308" w:rsidRPr="0002068F" w14:paraId="1B304D45" w14:textId="77777777" w:rsidTr="001A2308">
        <w:tc>
          <w:tcPr>
            <w:tcW w:w="9628" w:type="dxa"/>
          </w:tcPr>
          <w:p w14:paraId="27A25F57" w14:textId="4EFD54A9" w:rsidR="001A2308" w:rsidRPr="0002068F" w:rsidRDefault="001A2308" w:rsidP="001A2308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Pr="0095420E">
              <w:rPr>
                <w:szCs w:val="24"/>
              </w:rPr>
              <w:t>, Architektūros ir urbanistikos skyriaus Žemės valdymo poskyrio vyriausioji specialistė.</w:t>
            </w:r>
          </w:p>
        </w:tc>
      </w:tr>
      <w:tr w:rsidR="001A2308" w:rsidRPr="0002068F" w14:paraId="21F507B3" w14:textId="77777777" w:rsidTr="001A2308">
        <w:tc>
          <w:tcPr>
            <w:tcW w:w="9628" w:type="dxa"/>
          </w:tcPr>
          <w:p w14:paraId="5D531C86" w14:textId="77777777" w:rsidR="001A2308" w:rsidRPr="00A216B0" w:rsidRDefault="001A2308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587A2BFA" w:rsidR="001A2308" w:rsidRPr="00A216B0" w:rsidRDefault="001A2308" w:rsidP="001A2308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1A2308" w:rsidRPr="0002068F" w14:paraId="21AAB3FB" w14:textId="77777777" w:rsidTr="001A2308">
        <w:tc>
          <w:tcPr>
            <w:tcW w:w="9628" w:type="dxa"/>
          </w:tcPr>
          <w:p w14:paraId="503523C9" w14:textId="22591356" w:rsidR="001A2308" w:rsidRPr="00A216B0" w:rsidRDefault="001A2308" w:rsidP="001A2308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1A2308">
        <w:tc>
          <w:tcPr>
            <w:tcW w:w="9628" w:type="dxa"/>
          </w:tcPr>
          <w:p w14:paraId="2CC7757B" w14:textId="77777777" w:rsidR="00DD1F44" w:rsidRPr="0002068F" w:rsidRDefault="00DD1F44" w:rsidP="001A2308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1A2308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1A2308">
        <w:tc>
          <w:tcPr>
            <w:tcW w:w="9628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251B4AA" w14:textId="77777777" w:rsidR="001A2308" w:rsidRPr="001A2308" w:rsidRDefault="001A2308" w:rsidP="001A2308">
      <w:pPr>
        <w:rPr>
          <w:szCs w:val="24"/>
        </w:rPr>
      </w:pPr>
      <w:r w:rsidRPr="001A2308">
        <w:rPr>
          <w:szCs w:val="24"/>
        </w:rPr>
        <w:t>Architektūros ir urbanistikos skyriaus</w:t>
      </w:r>
    </w:p>
    <w:p w14:paraId="138C9D4D" w14:textId="77777777" w:rsidR="001A2308" w:rsidRPr="001A2308" w:rsidRDefault="001A2308" w:rsidP="001A2308">
      <w:pPr>
        <w:rPr>
          <w:szCs w:val="24"/>
        </w:rPr>
      </w:pPr>
      <w:r w:rsidRPr="001A2308">
        <w:rPr>
          <w:szCs w:val="24"/>
        </w:rPr>
        <w:t>Žemės valdymo poskyrio</w:t>
      </w:r>
    </w:p>
    <w:p w14:paraId="23729834" w14:textId="147B47A7" w:rsidR="005D1983" w:rsidRPr="0002068F" w:rsidRDefault="001A2308" w:rsidP="001A2308">
      <w:pPr>
        <w:rPr>
          <w:szCs w:val="24"/>
        </w:rPr>
      </w:pPr>
      <w:r w:rsidRPr="001A2308">
        <w:rPr>
          <w:szCs w:val="24"/>
        </w:rPr>
        <w:t>vyriausioji specialistė</w:t>
      </w:r>
      <w:r w:rsidRPr="001A2308">
        <w:rPr>
          <w:szCs w:val="24"/>
        </w:rPr>
        <w:tab/>
      </w:r>
      <w:r w:rsidRPr="001A2308">
        <w:rPr>
          <w:szCs w:val="24"/>
        </w:rPr>
        <w:tab/>
      </w:r>
      <w:r w:rsidRPr="001A2308">
        <w:rPr>
          <w:szCs w:val="24"/>
        </w:rPr>
        <w:tab/>
      </w:r>
      <w:r w:rsidRPr="001A2308">
        <w:rPr>
          <w:szCs w:val="24"/>
        </w:rPr>
        <w:tab/>
      </w:r>
      <w:r w:rsidRPr="001A2308">
        <w:rPr>
          <w:szCs w:val="24"/>
        </w:rPr>
        <w:tab/>
        <w:t xml:space="preserve">                                          Sonata Girdvainienė</w:t>
      </w: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054B" w14:textId="77777777" w:rsidR="007B6627" w:rsidRDefault="007B6627">
      <w:r>
        <w:separator/>
      </w:r>
    </w:p>
  </w:endnote>
  <w:endnote w:type="continuationSeparator" w:id="0">
    <w:p w14:paraId="3D65956D" w14:textId="77777777" w:rsidR="007B6627" w:rsidRDefault="007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FA3C" w14:textId="77777777" w:rsidR="007B6627" w:rsidRDefault="007B6627">
      <w:r>
        <w:separator/>
      </w:r>
    </w:p>
  </w:footnote>
  <w:footnote w:type="continuationSeparator" w:id="0">
    <w:p w14:paraId="7AFC6180" w14:textId="77777777" w:rsidR="007B6627" w:rsidRDefault="007B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19B2"/>
    <w:rsid w:val="000E54BD"/>
    <w:rsid w:val="00104EFE"/>
    <w:rsid w:val="0016272A"/>
    <w:rsid w:val="001A2308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E44A1"/>
    <w:rsid w:val="00401D1E"/>
    <w:rsid w:val="00414014"/>
    <w:rsid w:val="0042230F"/>
    <w:rsid w:val="00432B09"/>
    <w:rsid w:val="00451E93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975A8"/>
    <w:rsid w:val="007B3388"/>
    <w:rsid w:val="007B6627"/>
    <w:rsid w:val="007E17CF"/>
    <w:rsid w:val="007E50F5"/>
    <w:rsid w:val="008561E2"/>
    <w:rsid w:val="00870339"/>
    <w:rsid w:val="008707AB"/>
    <w:rsid w:val="008A1957"/>
    <w:rsid w:val="008B41E2"/>
    <w:rsid w:val="008D414A"/>
    <w:rsid w:val="008E5DCB"/>
    <w:rsid w:val="008E7D4A"/>
    <w:rsid w:val="008F3337"/>
    <w:rsid w:val="00904FBA"/>
    <w:rsid w:val="00921A90"/>
    <w:rsid w:val="0094087D"/>
    <w:rsid w:val="0095420E"/>
    <w:rsid w:val="00957386"/>
    <w:rsid w:val="00974D16"/>
    <w:rsid w:val="00981C0B"/>
    <w:rsid w:val="009B4FA3"/>
    <w:rsid w:val="009F10B6"/>
    <w:rsid w:val="00A02156"/>
    <w:rsid w:val="00A0756B"/>
    <w:rsid w:val="00A13AC5"/>
    <w:rsid w:val="00A216B0"/>
    <w:rsid w:val="00A87D3A"/>
    <w:rsid w:val="00AD2E6E"/>
    <w:rsid w:val="00AE2C20"/>
    <w:rsid w:val="00B03E5C"/>
    <w:rsid w:val="00B4797C"/>
    <w:rsid w:val="00B55D2E"/>
    <w:rsid w:val="00B77DDD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2024-03-06T13:41:00Z</dcterms:created>
  <dcterms:modified xsi:type="dcterms:W3CDTF">2024-03-07T09:44:00Z</dcterms:modified>
</cp:coreProperties>
</file>