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37CF" w14:textId="51CAAC78" w:rsidR="005C6E28" w:rsidRDefault="003D40E0" w:rsidP="00D43919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ŠILUTĖS RAJONO SAVIVALDYBĖS ADMINISTRACIJOS</w:t>
      </w:r>
    </w:p>
    <w:p w14:paraId="32BADA07" w14:textId="65967A72" w:rsidR="00D35D7D" w:rsidRDefault="00D35D7D" w:rsidP="00D43919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VIEŠŲJŲ PASLAUGŲ SKYRIUS</w:t>
      </w:r>
    </w:p>
    <w:p w14:paraId="58E45FE6" w14:textId="4C3FD764" w:rsidR="00D35D7D" w:rsidRDefault="00D35D7D" w:rsidP="00D43919">
      <w:pPr>
        <w:pStyle w:val="Standard"/>
        <w:tabs>
          <w:tab w:val="left" w:pos="142"/>
        </w:tabs>
        <w:rPr>
          <w:rFonts w:ascii="Times New Roman" w:eastAsia="Times New Roman" w:hAnsi="Times New Roman" w:cs="Times New Roman"/>
          <w:b/>
          <w:lang w:eastAsia="ar-SA"/>
        </w:rPr>
      </w:pPr>
    </w:p>
    <w:p w14:paraId="4836F331" w14:textId="77777777" w:rsidR="00D35D7D" w:rsidRDefault="00D35D7D" w:rsidP="00D43919">
      <w:pPr>
        <w:pStyle w:val="Standard"/>
        <w:tabs>
          <w:tab w:val="left" w:pos="142"/>
        </w:tabs>
        <w:rPr>
          <w:rFonts w:ascii="Times New Roman" w:eastAsia="Times New Roman" w:hAnsi="Times New Roman" w:cs="Times New Roman"/>
          <w:b/>
          <w:lang w:eastAsia="ar-SA"/>
        </w:rPr>
      </w:pPr>
    </w:p>
    <w:p w14:paraId="6C6321B7" w14:textId="1E2AD87B" w:rsidR="0015737E" w:rsidRDefault="003D40E0" w:rsidP="00D43919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AIŠKINAMASIS RAŠTAS</w:t>
      </w:r>
    </w:p>
    <w:p w14:paraId="3978965A" w14:textId="4022259A" w:rsidR="00B41B78" w:rsidRPr="00B41B78" w:rsidRDefault="00046F70" w:rsidP="00D43919">
      <w:pPr>
        <w:pStyle w:val="Standard"/>
        <w:tabs>
          <w:tab w:val="left" w:pos="142"/>
        </w:tabs>
        <w:ind w:right="181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lang w:val="lt-LT" w:eastAsia="ar-SA"/>
          </w:rPr>
          <w:alias w:val="Antraštė"/>
          <w:tag w:val="Antraštė"/>
          <w:id w:val="946192603"/>
          <w:placeholder>
            <w:docPart w:val="A97F207F9BCD4C33AD77B5F2D2FCFFD8"/>
          </w:placeholder>
        </w:sdtPr>
        <w:sdtEndPr/>
        <w:sdtContent>
          <w:r w:rsidR="00B45056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DĖL TARYBOS SPRENDIMO „</w:t>
          </w:r>
          <w:bookmarkStart w:id="0" w:name="_Hlk123845336"/>
          <w:r w:rsidR="00D43919" w:rsidRPr="00415DF4">
            <w:rPr>
              <w:rFonts w:ascii="Times New Roman" w:eastAsia="Times New Roman" w:hAnsi="Times New Roman" w:cs="Times New Roman"/>
              <w:b/>
            </w:rPr>
            <w:t xml:space="preserve">DĖL ŠILUTĖS RAJONO SAVIVALDYBĖS VISUOMENĖS SVEIKATOS RĖMIMO SPECIALIOSIOS PROGRAMOS </w:t>
          </w:r>
          <w:r w:rsidR="00D43919" w:rsidRPr="00415DF4">
            <w:rPr>
              <w:rFonts w:ascii="Times New Roman" w:eastAsia="Times New Roman" w:hAnsi="Times New Roman" w:cs="Times New Roman"/>
              <w:b/>
              <w:bCs/>
              <w:color w:val="000000"/>
              <w:lang w:eastAsia="lt-LT"/>
            </w:rPr>
            <w:t>VYKDYMO 202</w:t>
          </w:r>
          <w:r w:rsidR="00D9296D">
            <w:rPr>
              <w:rFonts w:ascii="Times New Roman" w:eastAsia="Times New Roman" w:hAnsi="Times New Roman" w:cs="Times New Roman"/>
              <w:b/>
              <w:bCs/>
              <w:color w:val="000000"/>
              <w:lang w:eastAsia="lt-LT"/>
            </w:rPr>
            <w:t>3</w:t>
          </w:r>
          <w:r w:rsidR="00D43919" w:rsidRPr="00415DF4">
            <w:rPr>
              <w:rFonts w:ascii="Times New Roman" w:eastAsia="Times New Roman" w:hAnsi="Times New Roman" w:cs="Times New Roman"/>
              <w:b/>
              <w:bCs/>
              <w:color w:val="000000"/>
              <w:lang w:eastAsia="lt-LT"/>
            </w:rPr>
            <w:t xml:space="preserve"> METŲ ATASKAIT</w:t>
          </w:r>
          <w:r w:rsidR="00D43919" w:rsidRPr="00415DF4">
            <w:rPr>
              <w:rFonts w:ascii="Times New Roman" w:eastAsia="Times New Roman" w:hAnsi="Times New Roman" w:cs="Times New Roman"/>
              <w:b/>
            </w:rPr>
            <w:t>OS PATVIRTINIMO</w:t>
          </w:r>
          <w:r w:rsidR="00B45056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“ PROJEKTO</w:t>
          </w:r>
          <w:r w:rsidR="00316A06" w:rsidRPr="00316A06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 </w:t>
          </w:r>
          <w:bookmarkEnd w:id="0"/>
          <w:r w:rsidR="00316A06" w:rsidRPr="00316A06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  </w:t>
          </w:r>
          <w:r w:rsidR="00316A06" w:rsidRPr="00316A06">
            <w:rPr>
              <w:rFonts w:ascii="Times New Roman" w:eastAsia="Times New Roman" w:hAnsi="Times New Roman" w:cs="Times New Roman"/>
              <w:b/>
              <w:bCs/>
              <w:color w:val="000000"/>
              <w:lang w:val="lt-LT" w:eastAsia="ar-SA"/>
            </w:rPr>
            <w:t xml:space="preserve"> </w:t>
          </w:r>
        </w:sdtContent>
      </w:sdt>
    </w:p>
    <w:p w14:paraId="5553D1DA" w14:textId="77777777" w:rsidR="00316A06" w:rsidRDefault="00316A06" w:rsidP="00B41B78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277403D3" w14:textId="164DE274" w:rsidR="005C6E28" w:rsidRPr="00D35D7D" w:rsidRDefault="00B30E54" w:rsidP="00B41B78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>
        <w:rPr>
          <w:rFonts w:ascii="Times New Roman" w:eastAsia="Times New Roman" w:hAnsi="Times New Roman" w:cs="Times New Roman"/>
          <w:lang w:val="lt-LT" w:eastAsia="ar-SA"/>
        </w:rPr>
        <w:t>202</w:t>
      </w:r>
      <w:r w:rsidR="00D9296D">
        <w:rPr>
          <w:rFonts w:ascii="Times New Roman" w:eastAsia="Times New Roman" w:hAnsi="Times New Roman" w:cs="Times New Roman"/>
          <w:lang w:val="lt-LT" w:eastAsia="ar-SA"/>
        </w:rPr>
        <w:t>4</w:t>
      </w:r>
      <w:r w:rsidR="00B41B78">
        <w:rPr>
          <w:rFonts w:ascii="Times New Roman" w:eastAsia="Times New Roman" w:hAnsi="Times New Roman" w:cs="Times New Roman"/>
          <w:lang w:val="lt-LT" w:eastAsia="ar-SA"/>
        </w:rPr>
        <w:t xml:space="preserve"> m. </w:t>
      </w:r>
      <w:r w:rsidR="00011B5C">
        <w:rPr>
          <w:rFonts w:ascii="Times New Roman" w:eastAsia="Times New Roman" w:hAnsi="Times New Roman" w:cs="Times New Roman"/>
          <w:lang w:val="lt-LT" w:eastAsia="ar-SA"/>
        </w:rPr>
        <w:t>kovo 12</w:t>
      </w:r>
      <w:r w:rsidR="003D40E0" w:rsidRPr="00D35D7D">
        <w:rPr>
          <w:rFonts w:ascii="Times New Roman" w:eastAsia="Times New Roman" w:hAnsi="Times New Roman" w:cs="Times New Roman"/>
          <w:lang w:val="lt-LT" w:eastAsia="ar-SA"/>
        </w:rPr>
        <w:t xml:space="preserve"> d.</w:t>
      </w:r>
    </w:p>
    <w:p w14:paraId="28C37D49" w14:textId="260E36C5" w:rsidR="005C6E28" w:rsidRPr="00D35D7D" w:rsidRDefault="003D40E0" w:rsidP="00B41B78">
      <w:pPr>
        <w:pStyle w:val="Standard"/>
        <w:tabs>
          <w:tab w:val="left" w:pos="0"/>
          <w:tab w:val="left" w:pos="142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D35D7D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57E7C1" w14:textId="696295D3" w:rsidR="00D35D7D" w:rsidRPr="00D35D7D" w:rsidRDefault="00D35D7D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061AC122" w14:textId="77777777" w:rsidR="00D35D7D" w:rsidRPr="00D35D7D" w:rsidRDefault="00D35D7D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10068" w:type="dxa"/>
        <w:tblInd w:w="-142" w:type="dxa"/>
        <w:tblLook w:val="04A0" w:firstRow="1" w:lastRow="0" w:firstColumn="1" w:lastColumn="0" w:noHBand="0" w:noVBand="1"/>
      </w:tblPr>
      <w:tblGrid>
        <w:gridCol w:w="10070"/>
      </w:tblGrid>
      <w:tr w:rsidR="005C6E28" w:rsidRPr="00011B5C" w14:paraId="758357F0" w14:textId="77777777" w:rsidTr="00890C7F">
        <w:tc>
          <w:tcPr>
            <w:tcW w:w="10068" w:type="dxa"/>
            <w:shd w:val="clear" w:color="auto" w:fill="auto"/>
          </w:tcPr>
          <w:p w14:paraId="6EAA25DE" w14:textId="7810DBB2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107BB960" w14:textId="4B4F8118" w:rsidR="005D442E" w:rsidRPr="00CC5F2C" w:rsidRDefault="00C368C5" w:rsidP="008660F6">
            <w:pPr>
              <w:pStyle w:val="Standard"/>
              <w:tabs>
                <w:tab w:val="left" w:pos="460"/>
                <w:tab w:val="left" w:pos="949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3919">
              <w:rPr>
                <w:rFonts w:ascii="Times New Roman" w:eastAsia="Times New Roman" w:hAnsi="Times New Roman" w:cs="Times New Roman"/>
                <w:kern w:val="0"/>
                <w:szCs w:val="22"/>
                <w:lang w:val="lt-LT" w:eastAsia="en-US" w:bidi="ar-SA"/>
              </w:rPr>
              <w:t xml:space="preserve">Projekto tikslas </w:t>
            </w:r>
            <w:r w:rsidR="00C73E4B">
              <w:rPr>
                <w:rFonts w:ascii="Times New Roman" w:eastAsia="Times New Roman" w:hAnsi="Times New Roman" w:cs="Times New Roman"/>
                <w:kern w:val="0"/>
                <w:szCs w:val="22"/>
                <w:lang w:val="lt-LT" w:eastAsia="en-US" w:bidi="ar-SA"/>
              </w:rPr>
              <w:t>–</w:t>
            </w:r>
            <w:r w:rsidRPr="00D43919">
              <w:rPr>
                <w:rFonts w:ascii="Times New Roman" w:eastAsia="Times New Roman" w:hAnsi="Times New Roman" w:cs="Times New Roman"/>
                <w:kern w:val="0"/>
                <w:szCs w:val="22"/>
                <w:lang w:val="lt-LT" w:eastAsia="en-US" w:bidi="ar-SA"/>
              </w:rPr>
              <w:t xml:space="preserve"> patvirtinti</w:t>
            </w:r>
            <w:r w:rsidRPr="00D43919">
              <w:rPr>
                <w:rFonts w:ascii="Times New Roman" w:eastAsia="Times New Roman" w:hAnsi="Times New Roman" w:cs="Times New Roman"/>
                <w:spacing w:val="20"/>
                <w:kern w:val="0"/>
                <w:szCs w:val="22"/>
                <w:lang w:val="lt-LT" w:eastAsia="en-US" w:bidi="ar-SA"/>
              </w:rPr>
              <w:t xml:space="preserve"> </w:t>
            </w:r>
            <w:r w:rsidRPr="00D43919">
              <w:rPr>
                <w:rFonts w:ascii="Times New Roman" w:eastAsia="Times New Roman" w:hAnsi="Times New Roman" w:cs="Times New Roman"/>
                <w:kern w:val="0"/>
                <w:szCs w:val="22"/>
                <w:lang w:val="lt-LT" w:eastAsia="en-US" w:bidi="ar-SA"/>
              </w:rPr>
              <w:t xml:space="preserve">Šilutės rajono savivaldybės visuomenės sveikatos rėmimo specialiosios programos </w:t>
            </w:r>
            <w:r w:rsidR="00613107">
              <w:rPr>
                <w:rFonts w:ascii="Times New Roman" w:eastAsia="Times New Roman" w:hAnsi="Times New Roman" w:cs="Times New Roman"/>
                <w:kern w:val="0"/>
                <w:szCs w:val="22"/>
                <w:lang w:val="lt-LT" w:eastAsia="en-US" w:bidi="ar-SA"/>
              </w:rPr>
              <w:t>vykdymo 202</w:t>
            </w:r>
            <w:r w:rsidR="005F668C">
              <w:rPr>
                <w:rFonts w:ascii="Times New Roman" w:eastAsia="Times New Roman" w:hAnsi="Times New Roman" w:cs="Times New Roman"/>
                <w:kern w:val="0"/>
                <w:szCs w:val="22"/>
                <w:lang w:val="lt-LT" w:eastAsia="en-US" w:bidi="ar-SA"/>
              </w:rPr>
              <w:t>3</w:t>
            </w:r>
            <w:r w:rsidR="00613107">
              <w:rPr>
                <w:rFonts w:ascii="Times New Roman" w:eastAsia="Times New Roman" w:hAnsi="Times New Roman" w:cs="Times New Roman"/>
                <w:kern w:val="0"/>
                <w:szCs w:val="22"/>
                <w:lang w:val="lt-LT" w:eastAsia="en-US" w:bidi="ar-SA"/>
              </w:rPr>
              <w:t xml:space="preserve"> metų ataskaitą.</w:t>
            </w:r>
          </w:p>
        </w:tc>
      </w:tr>
      <w:tr w:rsidR="005C6E28" w:rsidRPr="00D35D7D" w14:paraId="60E7A651" w14:textId="77777777" w:rsidTr="00890C7F">
        <w:tc>
          <w:tcPr>
            <w:tcW w:w="10068" w:type="dxa"/>
            <w:shd w:val="clear" w:color="auto" w:fill="auto"/>
          </w:tcPr>
          <w:p w14:paraId="4AD177A4" w14:textId="0601D399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</w:t>
            </w:r>
            <w:r w:rsidR="00F142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</w:tc>
      </w:tr>
      <w:tr w:rsidR="005C6E28" w:rsidRPr="00011B5C" w14:paraId="223032F3" w14:textId="77777777" w:rsidTr="00890C7F">
        <w:tc>
          <w:tcPr>
            <w:tcW w:w="10068" w:type="dxa"/>
            <w:shd w:val="clear" w:color="auto" w:fill="auto"/>
          </w:tcPr>
          <w:p w14:paraId="0436703F" w14:textId="1301C164" w:rsidR="005F668C" w:rsidRPr="00011B5C" w:rsidRDefault="0047755E" w:rsidP="008660F6">
            <w:pPr>
              <w:pStyle w:val="Standard"/>
              <w:tabs>
                <w:tab w:val="left" w:pos="46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6C4DF6" w:rsidRPr="00011B5C">
              <w:rPr>
                <w:rFonts w:ascii="Times New Roman" w:hAnsi="Times New Roman" w:cs="Times New Roman"/>
                <w:lang w:val="lt-LT"/>
              </w:rPr>
              <w:t xml:space="preserve">Lietuvos Respublikos sveikatos sistemos įstatymo 41 straipsnio 4 dalis, kurioje nurodoma, kad </w:t>
            </w:r>
            <w:r w:rsidR="005F668C" w:rsidRPr="00011B5C">
              <w:rPr>
                <w:rFonts w:ascii="Times New Roman" w:hAnsi="Times New Roman" w:cs="Times New Roman"/>
                <w:color w:val="000000"/>
                <w:lang w:val="lt-LT"/>
              </w:rPr>
              <w:t>Savivaldybės meras teikia savivaldybės tarybai sveikatos apsaugos ministro nustatytos formos metinę savivaldybės visuomenės sveikatos rėmimo specialiosios programos priemonių vykdymo ataskaita ir</w:t>
            </w:r>
            <w:r w:rsidR="00DE0660" w:rsidRPr="00011B5C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5F668C" w:rsidRPr="00011B5C">
              <w:rPr>
                <w:rFonts w:ascii="Times New Roman" w:hAnsi="Times New Roman" w:cs="Times New Roman"/>
                <w:color w:val="000000"/>
                <w:lang w:val="lt-LT"/>
              </w:rPr>
              <w:t>kad ši ataskaita turi būti skelbiama viešai savivaldybės interneto svetainėje.</w:t>
            </w:r>
          </w:p>
          <w:p w14:paraId="31E4662A" w14:textId="0E507C88" w:rsidR="0032254A" w:rsidRPr="00011B5C" w:rsidRDefault="006C4DF6" w:rsidP="005F668C">
            <w:pPr>
              <w:pStyle w:val="Standard"/>
              <w:tabs>
                <w:tab w:val="left" w:pos="460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011B5C">
              <w:rPr>
                <w:rFonts w:ascii="Times New Roman" w:hAnsi="Times New Roman" w:cs="Times New Roman"/>
                <w:lang w:val="lt-LT"/>
              </w:rPr>
              <w:t>Lietuvos Respublikos sveikatos sistemos įstatymo 63 straipsnio 5 punktas, kuriuo apibrėžiama Savivaldybės tarybos kompetencija tvirtinti lėšų panaudojimo ataskaitą.</w:t>
            </w:r>
          </w:p>
        </w:tc>
      </w:tr>
      <w:tr w:rsidR="005C6E28" w:rsidRPr="00011B5C" w14:paraId="6C0C22AE" w14:textId="77777777" w:rsidTr="00890C7F">
        <w:trPr>
          <w:trHeight w:val="517"/>
        </w:trPr>
        <w:tc>
          <w:tcPr>
            <w:tcW w:w="10068" w:type="dxa"/>
            <w:shd w:val="clear" w:color="auto" w:fill="auto"/>
          </w:tcPr>
          <w:p w14:paraId="2E1F5804" w14:textId="77777777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3. Kokių pozityvių rezultatų laukiama.</w:t>
            </w:r>
          </w:p>
          <w:p w14:paraId="03804CBA" w14:textId="7F93EC4E" w:rsidR="009C204F" w:rsidRPr="00D35D7D" w:rsidRDefault="006C4DF6" w:rsidP="008660F6">
            <w:pPr>
              <w:pStyle w:val="Standard"/>
              <w:tabs>
                <w:tab w:val="left" w:pos="993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Patvirtinus sprendimo projektą bus įgyvendintas Lietuvos Respublikos sveikatos sistemos įstatymo 63 straipsnio 5 punkto reikalavimas</w:t>
            </w:r>
            <w:r w:rsidR="005F668C">
              <w:rPr>
                <w:rFonts w:ascii="Times New Roman" w:hAnsi="Times New Roman" w:cs="Times New Roman"/>
                <w:lang w:val="lt-LT"/>
              </w:rPr>
              <w:t>, o a</w:t>
            </w:r>
            <w:r>
              <w:rPr>
                <w:rFonts w:ascii="Times New Roman" w:hAnsi="Times New Roman" w:cs="Times New Roman"/>
                <w:lang w:val="lt-LT"/>
              </w:rPr>
              <w:t>taskaita pateikiama Higienos institutui</w:t>
            </w:r>
            <w:r w:rsidR="005F668C">
              <w:rPr>
                <w:rFonts w:ascii="Times New Roman" w:hAnsi="Times New Roman" w:cs="Times New Roman"/>
                <w:lang w:val="lt-LT"/>
              </w:rPr>
              <w:t xml:space="preserve"> pagal Lietuvos Respublikos sveikatos apsaugos ministro reikalavimus.</w:t>
            </w:r>
          </w:p>
        </w:tc>
      </w:tr>
      <w:tr w:rsidR="005C6E28" w:rsidRPr="00011B5C" w14:paraId="6CB31969" w14:textId="77777777" w:rsidTr="00890C7F">
        <w:tc>
          <w:tcPr>
            <w:tcW w:w="10068" w:type="dxa"/>
            <w:shd w:val="clear" w:color="auto" w:fill="auto"/>
          </w:tcPr>
          <w:p w14:paraId="289B665F" w14:textId="3A497D14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4. Galimos  neigiamos  priimto  projekto pasekmės  ir kokių  priemonių  reikėtų  imtis, kad tokių pasekmių būtų išvengta.</w:t>
            </w:r>
          </w:p>
        </w:tc>
      </w:tr>
      <w:tr w:rsidR="005C6E28" w:rsidRPr="00D35D7D" w14:paraId="6D502580" w14:textId="77777777" w:rsidTr="00890C7F">
        <w:tc>
          <w:tcPr>
            <w:tcW w:w="10068" w:type="dxa"/>
            <w:shd w:val="clear" w:color="auto" w:fill="auto"/>
          </w:tcPr>
          <w:p w14:paraId="2DE2B540" w14:textId="77777777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5C6E28" w:rsidRPr="00D35D7D" w14:paraId="52C64BBA" w14:textId="77777777" w:rsidTr="00890C7F">
        <w:tc>
          <w:tcPr>
            <w:tcW w:w="10068" w:type="dxa"/>
            <w:shd w:val="clear" w:color="auto" w:fill="auto"/>
          </w:tcPr>
          <w:p w14:paraId="6BC1EE03" w14:textId="77777777" w:rsidR="00CD1420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5. Kokie šios srities aktai tebegalioja (pateikiamas aktų sąrašas) ir kokius galiojančius aktus būtina pakeisti ar panaikinti, priėmus teikiamą projektą.</w:t>
            </w:r>
          </w:p>
          <w:p w14:paraId="52BA5E73" w14:textId="09D4ED0B" w:rsidR="005C6E28" w:rsidRPr="00CD1420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-</w:t>
            </w:r>
          </w:p>
        </w:tc>
      </w:tr>
      <w:tr w:rsidR="005C6E28" w:rsidRPr="00D35D7D" w14:paraId="11229BE3" w14:textId="77777777" w:rsidTr="00890C7F">
        <w:tc>
          <w:tcPr>
            <w:tcW w:w="10068" w:type="dxa"/>
            <w:shd w:val="clear" w:color="auto" w:fill="auto"/>
          </w:tcPr>
          <w:tbl>
            <w:tblPr>
              <w:tblW w:w="9854" w:type="dxa"/>
              <w:tblLook w:val="04A0" w:firstRow="1" w:lastRow="0" w:firstColumn="1" w:lastColumn="0" w:noHBand="0" w:noVBand="1"/>
            </w:tblPr>
            <w:tblGrid>
              <w:gridCol w:w="9854"/>
            </w:tblGrid>
            <w:tr w:rsidR="005C6E28" w:rsidRPr="00D35D7D" w14:paraId="5B81F06B" w14:textId="77777777">
              <w:tc>
                <w:tcPr>
                  <w:tcW w:w="9854" w:type="dxa"/>
                  <w:shd w:val="clear" w:color="auto" w:fill="auto"/>
                </w:tcPr>
                <w:p w14:paraId="1C53F245" w14:textId="77777777" w:rsidR="005C6E28" w:rsidRPr="00D35D7D" w:rsidRDefault="003D40E0" w:rsidP="008660F6">
                  <w:pPr>
                    <w:pStyle w:val="Standard"/>
                    <w:spacing w:after="12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D35D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5C6E28" w:rsidRPr="00D35D7D" w14:paraId="19FC6D07" w14:textId="77777777">
              <w:tc>
                <w:tcPr>
                  <w:tcW w:w="9854" w:type="dxa"/>
                  <w:shd w:val="clear" w:color="auto" w:fill="auto"/>
                </w:tcPr>
                <w:p w14:paraId="22F13148" w14:textId="2E76455D" w:rsidR="005C6E28" w:rsidRPr="00D35D7D" w:rsidRDefault="006C4DF6" w:rsidP="008660F6">
                  <w:pPr>
                    <w:pStyle w:val="Standard"/>
                    <w:tabs>
                      <w:tab w:val="left" w:pos="-108"/>
                    </w:tabs>
                    <w:spacing w:after="120" w:line="276" w:lineRule="auto"/>
                    <w:ind w:firstLine="720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Antikorupcinio vertinimo nereikia.</w:t>
                  </w:r>
                  <w:r w:rsidR="00164DCE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 xml:space="preserve"> Visuomenės sveikatos rėmimo programos 202</w:t>
                  </w:r>
                  <w:r w:rsidR="005412D1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3</w:t>
                  </w:r>
                  <w:r w:rsidR="00164DCE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 xml:space="preserve"> m. ataskaita pristatyta Šilutės rajono savivaldybės Bendruomenės sveikatos tarybai.</w:t>
                  </w:r>
                </w:p>
              </w:tc>
            </w:tr>
          </w:tbl>
          <w:p w14:paraId="03EF5F2B" w14:textId="77777777" w:rsidR="005C6E28" w:rsidRPr="00D35D7D" w:rsidRDefault="005C6E28" w:rsidP="008660F6">
            <w:pPr>
              <w:pStyle w:val="Standard"/>
              <w:spacing w:after="120"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D35D7D" w14:paraId="10F69154" w14:textId="77777777" w:rsidTr="00890C7F">
        <w:tc>
          <w:tcPr>
            <w:tcW w:w="10068" w:type="dxa"/>
            <w:shd w:val="clear" w:color="auto" w:fill="auto"/>
          </w:tcPr>
          <w:p w14:paraId="77C30DD5" w14:textId="77777777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5C6E28" w:rsidRPr="00D35D7D" w14:paraId="3E7E38B4" w14:textId="77777777" w:rsidTr="00890C7F">
        <w:tc>
          <w:tcPr>
            <w:tcW w:w="10068" w:type="dxa"/>
            <w:shd w:val="clear" w:color="auto" w:fill="auto"/>
          </w:tcPr>
          <w:p w14:paraId="2249B5AE" w14:textId="2E3958B3" w:rsidR="00734BF2" w:rsidRDefault="00A7692E" w:rsidP="00A134A9">
            <w:pPr>
              <w:pStyle w:val="Standard"/>
              <w:snapToGrid w:val="0"/>
              <w:spacing w:line="276" w:lineRule="auto"/>
              <w:ind w:firstLine="745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202</w:t>
            </w:r>
            <w:r w:rsidR="00890C7F">
              <w:rPr>
                <w:rFonts w:ascii="Times New Roman" w:hAnsi="Times New Roman" w:cs="Times New Roman"/>
                <w:lang w:val="lt-LT"/>
              </w:rPr>
              <w:t>3</w:t>
            </w:r>
            <w:r>
              <w:rPr>
                <w:rFonts w:ascii="Times New Roman" w:hAnsi="Times New Roman" w:cs="Times New Roman"/>
                <w:lang w:val="lt-LT"/>
              </w:rPr>
              <w:t xml:space="preserve"> metų visuomenės sveikatos rėmimo specialiosios programos lėšos buvo finansuojamos iš Savivaldybės aplinkos apsaugos rėmimo specialiosios programos lėšų (20 proc.).</w:t>
            </w:r>
          </w:p>
          <w:p w14:paraId="3C2A4E18" w14:textId="270DCEF9" w:rsidR="000532D0" w:rsidRDefault="000532D0" w:rsidP="00A134A9">
            <w:pPr>
              <w:pStyle w:val="Standard"/>
              <w:snapToGrid w:val="0"/>
              <w:spacing w:line="276" w:lineRule="auto"/>
              <w:ind w:firstLine="745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</w:t>
            </w:r>
            <w:r w:rsidR="00890C7F">
              <w:rPr>
                <w:rFonts w:ascii="Times New Roman" w:hAnsi="Times New Roman" w:cs="Times New Roman"/>
                <w:lang w:val="lt-LT"/>
              </w:rPr>
              <w:t>3</w:t>
            </w:r>
            <w:r>
              <w:rPr>
                <w:rFonts w:ascii="Times New Roman" w:hAnsi="Times New Roman" w:cs="Times New Roman"/>
                <w:lang w:val="lt-LT"/>
              </w:rPr>
              <w:t xml:space="preserve"> m. programos įgyvendinimui buvo surinkta </w:t>
            </w:r>
            <w:r w:rsidR="00890C7F" w:rsidRPr="00890C7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76 573</w:t>
            </w:r>
            <w:r w:rsidRPr="00890C7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C73E4B">
              <w:rPr>
                <w:rFonts w:ascii="Times New Roman" w:hAnsi="Times New Roman" w:cs="Times New Roman"/>
                <w:lang w:val="lt-LT"/>
              </w:rPr>
              <w:t>Eur</w:t>
            </w:r>
            <w:r>
              <w:rPr>
                <w:rFonts w:ascii="Times New Roman" w:hAnsi="Times New Roman" w:cs="Times New Roman"/>
                <w:lang w:val="lt-LT"/>
              </w:rPr>
              <w:t xml:space="preserve">, iš jų panaudota </w:t>
            </w:r>
            <w:r w:rsidR="00EC7604" w:rsidRPr="00EC7604">
              <w:rPr>
                <w:rFonts w:ascii="Times New Roman" w:hAnsi="Times New Roman" w:cs="Times New Roman"/>
                <w:color w:val="000000" w:themeColor="text1"/>
                <w:lang w:val="lt-LT"/>
              </w:rPr>
              <w:t>69 042,86</w:t>
            </w:r>
            <w:r w:rsidRPr="00EC760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C73E4B">
              <w:rPr>
                <w:rFonts w:ascii="Times New Roman" w:hAnsi="Times New Roman" w:cs="Times New Roman"/>
                <w:lang w:val="lt-LT"/>
              </w:rPr>
              <w:t>Eur</w:t>
            </w:r>
            <w:r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71C1854F" w14:textId="77777777" w:rsidR="000532D0" w:rsidRDefault="008F1E62" w:rsidP="008660F6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Įvykdytos priemonės</w:t>
            </w:r>
            <w:r w:rsidR="000532D0">
              <w:rPr>
                <w:rFonts w:ascii="Times New Roman" w:hAnsi="Times New Roman" w:cs="Times New Roman"/>
                <w:lang w:val="lt-LT"/>
              </w:rPr>
              <w:t xml:space="preserve">: </w:t>
            </w:r>
          </w:p>
          <w:p w14:paraId="7B7FD671" w14:textId="77777777" w:rsidR="008F1E62" w:rsidRPr="003E23E2" w:rsidRDefault="008F1E62" w:rsidP="00890C7F">
            <w:pPr>
              <w:pStyle w:val="Standard"/>
              <w:numPr>
                <w:ilvl w:val="0"/>
                <w:numId w:val="9"/>
              </w:numPr>
              <w:tabs>
                <w:tab w:val="left" w:pos="1027"/>
                <w:tab w:val="left" w:pos="1168"/>
              </w:tabs>
              <w:snapToGrid w:val="0"/>
              <w:spacing w:line="276" w:lineRule="auto"/>
              <w:ind w:left="743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Užkrečiamųjų ligų prevencija ir kontrolė:</w:t>
            </w:r>
          </w:p>
          <w:p w14:paraId="4FEC8A78" w14:textId="57C9DF7A" w:rsidR="008F1E62" w:rsidRPr="003E23E2" w:rsidRDefault="008F1E62" w:rsidP="00890C7F">
            <w:pPr>
              <w:pStyle w:val="Standard"/>
              <w:numPr>
                <w:ilvl w:val="1"/>
                <w:numId w:val="9"/>
              </w:numPr>
              <w:tabs>
                <w:tab w:val="left" w:pos="887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Tuberkuliozės profilaktik</w:t>
            </w:r>
            <w:r w:rsidR="00890C7F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os priemonės ir DOTS kabineto veiklos finansavimas – </w:t>
            </w:r>
            <w:r w:rsidR="004354B2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204,26</w:t>
            </w:r>
            <w:r w:rsidR="00890C7F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="00890C7F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789EF174" w14:textId="768F2DEC" w:rsidR="008F1E62" w:rsidRPr="003E23E2" w:rsidRDefault="00890C7F" w:rsidP="00890C7F">
            <w:pPr>
              <w:pStyle w:val="Standard"/>
              <w:numPr>
                <w:ilvl w:val="1"/>
                <w:numId w:val="9"/>
              </w:numPr>
              <w:tabs>
                <w:tab w:val="left" w:pos="1168"/>
                <w:tab w:val="left" w:pos="150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Imunoprofilaktika (gripo ir erkinio encefalito prevenci</w:t>
            </w:r>
            <w:r w:rsidR="0064251A">
              <w:rPr>
                <w:rFonts w:ascii="Times New Roman" w:hAnsi="Times New Roman" w:cs="Times New Roman"/>
                <w:color w:val="000000" w:themeColor="text1"/>
                <w:lang w:val="lt-LT"/>
              </w:rPr>
              <w:t>jai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)</w:t>
            </w:r>
            <w:r w:rsidR="005D00DF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4354B2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4 931,50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="004354B2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35302AAF" w14:textId="77777777" w:rsidR="00597A24" w:rsidRPr="003E23E2" w:rsidRDefault="00597A24" w:rsidP="00890C7F">
            <w:pPr>
              <w:pStyle w:val="Standard"/>
              <w:numPr>
                <w:ilvl w:val="0"/>
                <w:numId w:val="9"/>
              </w:numPr>
              <w:tabs>
                <w:tab w:val="left" w:pos="994"/>
                <w:tab w:val="left" w:pos="1168"/>
              </w:tabs>
              <w:snapToGrid w:val="0"/>
              <w:spacing w:line="276" w:lineRule="auto"/>
              <w:ind w:left="743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Aplinkos sveikata:</w:t>
            </w:r>
          </w:p>
          <w:p w14:paraId="00068941" w14:textId="076D645A" w:rsidR="00890C7F" w:rsidRPr="003E23E2" w:rsidRDefault="00890C7F" w:rsidP="00890C7F">
            <w:pPr>
              <w:pStyle w:val="Standard"/>
              <w:numPr>
                <w:ilvl w:val="1"/>
                <w:numId w:val="9"/>
              </w:numPr>
              <w:tabs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Maudyklų vandens ir smėlio tyrimai – </w:t>
            </w:r>
            <w:r w:rsidR="00523A8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2 212,97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5E62DEA5" w14:textId="0AAF8513" w:rsidR="00890C7F" w:rsidRPr="003E23E2" w:rsidRDefault="00597A24" w:rsidP="00890C7F">
            <w:pPr>
              <w:pStyle w:val="Standard"/>
              <w:numPr>
                <w:ilvl w:val="1"/>
                <w:numId w:val="9"/>
              </w:numPr>
              <w:tabs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Gyvūnų gerovei – </w:t>
            </w:r>
            <w:r w:rsidR="00523A82">
              <w:rPr>
                <w:rFonts w:ascii="Times New Roman" w:hAnsi="Times New Roman" w:cs="Times New Roman"/>
                <w:color w:val="000000" w:themeColor="text1"/>
                <w:lang w:val="lt-LT"/>
              </w:rPr>
              <w:t>10 251,08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6DF5CE1D" w14:textId="0A90DC1C" w:rsidR="00597A24" w:rsidRPr="003E23E2" w:rsidRDefault="00597A24" w:rsidP="00890C7F">
            <w:pPr>
              <w:pStyle w:val="Standard"/>
              <w:numPr>
                <w:ilvl w:val="1"/>
                <w:numId w:val="9"/>
              </w:numPr>
              <w:tabs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Biotualetų nuoma / priežiūra – </w:t>
            </w:r>
            <w:r w:rsidR="00523A82">
              <w:rPr>
                <w:rFonts w:ascii="Times New Roman" w:hAnsi="Times New Roman" w:cs="Times New Roman"/>
                <w:color w:val="000000" w:themeColor="text1"/>
                <w:lang w:val="lt-LT"/>
              </w:rPr>
              <w:t>19 208,10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3070CD73" w14:textId="0D2AE00E" w:rsidR="00597A24" w:rsidRPr="003E23E2" w:rsidRDefault="00890C7F" w:rsidP="00890C7F">
            <w:pPr>
              <w:pStyle w:val="Standard"/>
              <w:numPr>
                <w:ilvl w:val="0"/>
                <w:numId w:val="9"/>
              </w:numPr>
              <w:tabs>
                <w:tab w:val="left" w:pos="1027"/>
                <w:tab w:val="left" w:pos="1168"/>
              </w:tabs>
              <w:snapToGrid w:val="0"/>
              <w:spacing w:line="276" w:lineRule="auto"/>
              <w:ind w:left="743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Fizinio aktyvumo skatinimas</w:t>
            </w:r>
            <w:r w:rsidR="00597A24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:</w:t>
            </w:r>
          </w:p>
          <w:p w14:paraId="1AA83BEE" w14:textId="7258C61B" w:rsidR="00597A24" w:rsidRPr="003E23E2" w:rsidRDefault="00890C7F" w:rsidP="00890C7F">
            <w:pPr>
              <w:pStyle w:val="Standard"/>
              <w:numPr>
                <w:ilvl w:val="1"/>
                <w:numId w:val="9"/>
              </w:numPr>
              <w:tabs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Fizinis aktyvumas vandenyje / plaukimas – </w:t>
            </w:r>
            <w:r w:rsidR="0051017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11 184,85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40C9AE59" w14:textId="02D7030D" w:rsidR="00890C7F" w:rsidRPr="003E23E2" w:rsidRDefault="00890C7F" w:rsidP="00890C7F">
            <w:pPr>
              <w:pStyle w:val="Standard"/>
              <w:numPr>
                <w:ilvl w:val="1"/>
                <w:numId w:val="9"/>
              </w:numPr>
              <w:tabs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Gyvenimo kokybę gerinanti programa „Šokiai tau“ – 4 000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ur.</w:t>
            </w:r>
          </w:p>
          <w:p w14:paraId="5D7599CE" w14:textId="0AE966FE" w:rsidR="00597A24" w:rsidRPr="003E23E2" w:rsidRDefault="00890C7F" w:rsidP="00890C7F">
            <w:pPr>
              <w:pStyle w:val="Standard"/>
              <w:numPr>
                <w:ilvl w:val="0"/>
                <w:numId w:val="9"/>
              </w:numPr>
              <w:tabs>
                <w:tab w:val="left" w:pos="1027"/>
                <w:tab w:val="left" w:pos="1168"/>
              </w:tabs>
              <w:snapToGrid w:val="0"/>
              <w:spacing w:line="276" w:lineRule="auto"/>
              <w:ind w:left="743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Kitos</w:t>
            </w:r>
            <w:r w:rsidR="00597A24"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:</w:t>
            </w:r>
          </w:p>
          <w:p w14:paraId="51D20AD3" w14:textId="77777777" w:rsidR="00597A24" w:rsidRPr="003E23E2" w:rsidRDefault="00597A24" w:rsidP="00890C7F">
            <w:pPr>
              <w:pStyle w:val="Sraopastraipa"/>
              <w:numPr>
                <w:ilvl w:val="0"/>
                <w:numId w:val="11"/>
              </w:numPr>
              <w:tabs>
                <w:tab w:val="left" w:pos="1168"/>
              </w:tabs>
              <w:snapToGrid w:val="0"/>
              <w:spacing w:line="276" w:lineRule="auto"/>
              <w:ind w:left="743" w:firstLine="0"/>
              <w:contextualSpacing w:val="0"/>
              <w:jc w:val="both"/>
              <w:rPr>
                <w:rFonts w:ascii="Times New Roman" w:hAnsi="Times New Roman" w:cs="Times New Roman"/>
                <w:vanish/>
                <w:color w:val="000000" w:themeColor="text1"/>
                <w:szCs w:val="24"/>
                <w:lang w:val="lt-LT"/>
              </w:rPr>
            </w:pPr>
          </w:p>
          <w:p w14:paraId="5BCD29A4" w14:textId="77777777" w:rsidR="00597A24" w:rsidRPr="003E23E2" w:rsidRDefault="00597A24" w:rsidP="00890C7F">
            <w:pPr>
              <w:pStyle w:val="Sraopastraipa"/>
              <w:numPr>
                <w:ilvl w:val="0"/>
                <w:numId w:val="11"/>
              </w:numPr>
              <w:tabs>
                <w:tab w:val="left" w:pos="1168"/>
              </w:tabs>
              <w:snapToGrid w:val="0"/>
              <w:spacing w:line="276" w:lineRule="auto"/>
              <w:ind w:left="743" w:firstLine="0"/>
              <w:contextualSpacing w:val="0"/>
              <w:jc w:val="both"/>
              <w:rPr>
                <w:rFonts w:ascii="Times New Roman" w:hAnsi="Times New Roman" w:cs="Times New Roman"/>
                <w:vanish/>
                <w:color w:val="000000" w:themeColor="text1"/>
                <w:szCs w:val="24"/>
                <w:lang w:val="lt-LT"/>
              </w:rPr>
            </w:pPr>
          </w:p>
          <w:p w14:paraId="279FA2A9" w14:textId="77777777" w:rsidR="00597A24" w:rsidRPr="003E23E2" w:rsidRDefault="00597A24" w:rsidP="00890C7F">
            <w:pPr>
              <w:pStyle w:val="Sraopastraipa"/>
              <w:numPr>
                <w:ilvl w:val="0"/>
                <w:numId w:val="11"/>
              </w:numPr>
              <w:tabs>
                <w:tab w:val="left" w:pos="1168"/>
              </w:tabs>
              <w:snapToGrid w:val="0"/>
              <w:spacing w:line="276" w:lineRule="auto"/>
              <w:ind w:left="743" w:firstLine="0"/>
              <w:contextualSpacing w:val="0"/>
              <w:jc w:val="both"/>
              <w:rPr>
                <w:rFonts w:ascii="Times New Roman" w:hAnsi="Times New Roman" w:cs="Times New Roman"/>
                <w:vanish/>
                <w:color w:val="000000" w:themeColor="text1"/>
                <w:szCs w:val="24"/>
                <w:lang w:val="lt-LT"/>
              </w:rPr>
            </w:pPr>
          </w:p>
          <w:p w14:paraId="759E30F8" w14:textId="77777777" w:rsidR="00597A24" w:rsidRPr="003E23E2" w:rsidRDefault="00597A24" w:rsidP="00890C7F">
            <w:pPr>
              <w:pStyle w:val="Sraopastraipa"/>
              <w:numPr>
                <w:ilvl w:val="0"/>
                <w:numId w:val="11"/>
              </w:numPr>
              <w:tabs>
                <w:tab w:val="left" w:pos="1168"/>
              </w:tabs>
              <w:snapToGrid w:val="0"/>
              <w:spacing w:line="276" w:lineRule="auto"/>
              <w:ind w:left="743" w:firstLine="0"/>
              <w:contextualSpacing w:val="0"/>
              <w:jc w:val="both"/>
              <w:rPr>
                <w:rFonts w:ascii="Times New Roman" w:hAnsi="Times New Roman" w:cs="Times New Roman"/>
                <w:vanish/>
                <w:color w:val="000000" w:themeColor="text1"/>
                <w:szCs w:val="24"/>
                <w:lang w:val="lt-LT"/>
              </w:rPr>
            </w:pPr>
          </w:p>
          <w:p w14:paraId="2F4C5B2A" w14:textId="0D9CC49F" w:rsidR="00890C7F" w:rsidRPr="003E23E2" w:rsidRDefault="00890C7F" w:rsidP="00890C7F">
            <w:pPr>
              <w:pStyle w:val="Standard"/>
              <w:numPr>
                <w:ilvl w:val="1"/>
                <w:numId w:val="11"/>
              </w:numPr>
              <w:tabs>
                <w:tab w:val="left" w:pos="1027"/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Vaikų žaidimo aikštelių patikra ir remontas – </w:t>
            </w:r>
            <w:r w:rsidR="0051017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5 738,96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21100D83" w14:textId="522FB266" w:rsidR="00A33BDF" w:rsidRPr="003E23E2" w:rsidRDefault="00890C7F" w:rsidP="00890C7F">
            <w:pPr>
              <w:pStyle w:val="Standard"/>
              <w:numPr>
                <w:ilvl w:val="1"/>
                <w:numId w:val="11"/>
              </w:numPr>
              <w:tabs>
                <w:tab w:val="left" w:pos="1027"/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Vaikų žaidimo aikštelės įrengimas – 11 091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7D58E13C" w14:textId="0ADBCB19" w:rsidR="00890C7F" w:rsidRPr="003E23E2" w:rsidRDefault="00890C7F" w:rsidP="00890C7F">
            <w:pPr>
              <w:pStyle w:val="Standard"/>
              <w:numPr>
                <w:ilvl w:val="1"/>
                <w:numId w:val="11"/>
              </w:numPr>
              <w:tabs>
                <w:tab w:val="left" w:pos="1027"/>
                <w:tab w:val="left" w:pos="1168"/>
                <w:tab w:val="left" w:pos="1454"/>
              </w:tabs>
              <w:snapToGrid w:val="0"/>
              <w:spacing w:line="276" w:lineRule="auto"/>
              <w:ind w:left="1029" w:firstLine="0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Kitos prevencinės priemonės – </w:t>
            </w:r>
            <w:r w:rsidR="0051017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220,14 </w:t>
            </w:r>
            <w:r w:rsidR="00C73E4B">
              <w:rPr>
                <w:rFonts w:ascii="Times New Roman" w:hAnsi="Times New Roman" w:cs="Times New Roman"/>
                <w:color w:val="000000" w:themeColor="text1"/>
                <w:lang w:val="lt-LT"/>
              </w:rPr>
              <w:t>Eur</w:t>
            </w:r>
            <w:r w:rsidRPr="003E23E2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5E31FB30" w14:textId="139E64D1" w:rsidR="0044592B" w:rsidRPr="00D35D7D" w:rsidRDefault="0044592B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Nepanaudotos lėšos (lėšų likutis) perkeliamas į 202</w:t>
            </w:r>
            <w:r w:rsidR="00E86150">
              <w:rPr>
                <w:rFonts w:ascii="Times New Roman" w:hAnsi="Times New Roman" w:cs="Times New Roman"/>
                <w:lang w:val="lt-LT"/>
              </w:rPr>
              <w:t>4</w:t>
            </w:r>
            <w:r>
              <w:rPr>
                <w:rFonts w:ascii="Times New Roman" w:hAnsi="Times New Roman" w:cs="Times New Roman"/>
                <w:lang w:val="lt-LT"/>
              </w:rPr>
              <w:t xml:space="preserve"> metus ir bus panaudotas 202</w:t>
            </w:r>
            <w:r w:rsidR="00E86150">
              <w:rPr>
                <w:rFonts w:ascii="Times New Roman" w:hAnsi="Times New Roman" w:cs="Times New Roman"/>
                <w:lang w:val="lt-LT"/>
              </w:rPr>
              <w:t>4</w:t>
            </w:r>
            <w:r>
              <w:rPr>
                <w:rFonts w:ascii="Times New Roman" w:hAnsi="Times New Roman" w:cs="Times New Roman"/>
                <w:lang w:val="lt-LT"/>
              </w:rPr>
              <w:t xml:space="preserve"> metų programos priemonių įgyvendinimui. </w:t>
            </w:r>
          </w:p>
        </w:tc>
      </w:tr>
      <w:tr w:rsidR="005C6E28" w:rsidRPr="00D35D7D" w14:paraId="6A2909EA" w14:textId="77777777" w:rsidTr="00890C7F">
        <w:tc>
          <w:tcPr>
            <w:tcW w:w="10068" w:type="dxa"/>
            <w:shd w:val="clear" w:color="auto" w:fill="auto"/>
          </w:tcPr>
          <w:p w14:paraId="0B522A2F" w14:textId="77777777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5C6E28" w:rsidRPr="00D35D7D" w14:paraId="1DE28FB4" w14:textId="77777777" w:rsidTr="00890C7F">
        <w:tc>
          <w:tcPr>
            <w:tcW w:w="10068" w:type="dxa"/>
            <w:shd w:val="clear" w:color="auto" w:fill="auto"/>
          </w:tcPr>
          <w:p w14:paraId="7802C8E9" w14:textId="1DEE5659" w:rsidR="005C6E28" w:rsidRPr="00D35D7D" w:rsidRDefault="0015737E" w:rsidP="008660F6">
            <w:pPr>
              <w:pStyle w:val="Standard"/>
              <w:tabs>
                <w:tab w:val="left" w:pos="567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="003D40E0" w:rsidRPr="00D35D7D">
              <w:rPr>
                <w:rFonts w:ascii="Times New Roman" w:eastAsia="Times New Roman" w:hAnsi="Times New Roman" w:cs="Times New Roman"/>
                <w:lang w:val="lt-LT"/>
              </w:rPr>
              <w:t>Šilutės rajono savivaldybės administracijo</w:t>
            </w:r>
            <w:r w:rsidR="005D00DF">
              <w:rPr>
                <w:rFonts w:ascii="Times New Roman" w:eastAsia="Times New Roman" w:hAnsi="Times New Roman" w:cs="Times New Roman"/>
                <w:lang w:val="lt-LT"/>
              </w:rPr>
              <w:t>s v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iešųjų paslaugų skyriaus vyriausioji specialistė-savivaldybės gydytoja </w:t>
            </w:r>
            <w:r w:rsidR="00DA6BAD">
              <w:rPr>
                <w:rFonts w:ascii="Times New Roman" w:eastAsia="Times New Roman" w:hAnsi="Times New Roman" w:cs="Times New Roman"/>
                <w:lang w:val="lt-LT"/>
              </w:rPr>
              <w:t>Laura Kuliešienė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5C6E28" w:rsidRPr="00D35D7D" w14:paraId="48808EB7" w14:textId="77777777" w:rsidTr="00890C7F">
        <w:tc>
          <w:tcPr>
            <w:tcW w:w="10068" w:type="dxa"/>
            <w:shd w:val="clear" w:color="auto" w:fill="auto"/>
          </w:tcPr>
          <w:p w14:paraId="17AFA603" w14:textId="77777777" w:rsidR="005C6E28" w:rsidRPr="00D35D7D" w:rsidRDefault="003D40E0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5C6E28" w:rsidRPr="00D35D7D" w14:paraId="3BEC7B90" w14:textId="77777777" w:rsidTr="00890C7F">
        <w:tc>
          <w:tcPr>
            <w:tcW w:w="10068" w:type="dxa"/>
            <w:shd w:val="clear" w:color="auto" w:fill="auto"/>
          </w:tcPr>
          <w:p w14:paraId="6C86C013" w14:textId="373D0488" w:rsidR="00C368C5" w:rsidRPr="00D43919" w:rsidRDefault="00C368C5" w:rsidP="008660F6">
            <w:pPr>
              <w:widowControl w:val="0"/>
              <w:suppressAutoHyphens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val="lt-LT" w:eastAsia="en-US" w:bidi="ar-SA"/>
              </w:rPr>
            </w:pPr>
            <w:r w:rsidRPr="00D43919">
              <w:rPr>
                <w:rFonts w:ascii="Times New Roman" w:eastAsia="Times New Roman" w:hAnsi="Times New Roman" w:cs="Times New Roman"/>
                <w:kern w:val="0"/>
                <w:szCs w:val="20"/>
                <w:lang w:val="lt-LT" w:eastAsia="en-US" w:bidi="ar-SA"/>
              </w:rPr>
              <w:t>Visuomenės sveikatos rėmim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val="lt-LT" w:eastAsia="en-US" w:bidi="ar-SA"/>
              </w:rPr>
              <w:t>o specialioji programa,</w:t>
            </w:r>
            <w:r w:rsidRPr="00D43919">
              <w:rPr>
                <w:rFonts w:ascii="Times New Roman" w:eastAsia="Times New Roman" w:hAnsi="Times New Roman" w:cs="Times New Roman"/>
                <w:kern w:val="0"/>
                <w:szCs w:val="20"/>
                <w:lang w:val="lt-LT" w:eastAsia="en-US" w:bidi="ar-SA"/>
              </w:rPr>
              <w:t xml:space="preserve"> sveikatinimo priemonės.</w:t>
            </w:r>
          </w:p>
          <w:p w14:paraId="06EFE337" w14:textId="5EFCCCA7" w:rsidR="005C6E28" w:rsidRPr="00D35D7D" w:rsidRDefault="005C6E28" w:rsidP="008660F6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</w:tbl>
    <w:p w14:paraId="754A04DB" w14:textId="77777777" w:rsidR="00A7692E" w:rsidRDefault="00A7692E" w:rsidP="008660F6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33A93701" w14:textId="77777777" w:rsidR="00A7692E" w:rsidRDefault="00A7692E" w:rsidP="008660F6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61684300" w14:textId="77777777" w:rsidR="0015737E" w:rsidRDefault="003D40E0" w:rsidP="008660F6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35D7D">
        <w:rPr>
          <w:rFonts w:ascii="Times New Roman" w:eastAsia="Times New Roman" w:hAnsi="Times New Roman" w:cs="Times New Roman"/>
          <w:bCs/>
          <w:lang w:val="lt-LT"/>
        </w:rPr>
        <w:t xml:space="preserve">Viešųjų paslaugų skyriaus </w:t>
      </w:r>
    </w:p>
    <w:p w14:paraId="280F4D94" w14:textId="65FA4426" w:rsidR="005C6E28" w:rsidRPr="008660F6" w:rsidRDefault="003D40E0" w:rsidP="008660F6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35D7D">
        <w:rPr>
          <w:rFonts w:ascii="Times New Roman" w:eastAsia="Times New Roman" w:hAnsi="Times New Roman" w:cs="Times New Roman"/>
          <w:bCs/>
          <w:lang w:val="lt-LT"/>
        </w:rPr>
        <w:t>vyriausioji specialistė</w:t>
      </w:r>
      <w:r w:rsidR="0015737E">
        <w:rPr>
          <w:rFonts w:ascii="Times New Roman" w:eastAsia="Times New Roman" w:hAnsi="Times New Roman" w:cs="Times New Roman"/>
          <w:bCs/>
          <w:lang w:val="lt-LT"/>
        </w:rPr>
        <w:t>-s</w:t>
      </w:r>
      <w:r w:rsidRPr="00D35D7D">
        <w:rPr>
          <w:rFonts w:ascii="Times New Roman" w:eastAsia="Times New Roman" w:hAnsi="Times New Roman" w:cs="Times New Roman"/>
          <w:bCs/>
          <w:lang w:val="lt-LT"/>
        </w:rPr>
        <w:t>avivaldybės gydytoja</w:t>
      </w:r>
      <w:r w:rsidR="0015737E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15737E">
        <w:rPr>
          <w:rFonts w:ascii="Times New Roman" w:eastAsia="Times New Roman" w:hAnsi="Times New Roman" w:cs="Times New Roman"/>
          <w:bCs/>
          <w:lang w:val="lt-LT"/>
        </w:rPr>
        <w:tab/>
        <w:t xml:space="preserve">   </w:t>
      </w:r>
      <w:r w:rsidR="0015737E">
        <w:rPr>
          <w:rFonts w:ascii="Times New Roman" w:eastAsia="Times New Roman" w:hAnsi="Times New Roman" w:cs="Times New Roman"/>
          <w:bCs/>
          <w:lang w:val="lt-LT"/>
        </w:rPr>
        <w:tab/>
        <w:t xml:space="preserve">               </w:t>
      </w:r>
      <w:r w:rsidR="005412D1">
        <w:rPr>
          <w:rFonts w:ascii="Times New Roman" w:eastAsia="Times New Roman" w:hAnsi="Times New Roman" w:cs="Times New Roman"/>
          <w:bCs/>
          <w:lang w:val="lt-LT"/>
        </w:rPr>
        <w:t xml:space="preserve">          Laura Kuliešienė</w:t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="0015737E">
        <w:rPr>
          <w:rFonts w:ascii="Times New Roman" w:eastAsia="Times New Roman" w:hAnsi="Times New Roman" w:cs="Times New Roman"/>
          <w:bCs/>
          <w:lang w:val="lt-LT"/>
        </w:rPr>
        <w:t xml:space="preserve">            </w:t>
      </w:r>
    </w:p>
    <w:sectPr w:rsidR="005C6E28" w:rsidRPr="008660F6" w:rsidSect="005A3AF7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3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D3BCC"/>
    <w:multiLevelType w:val="hybridMultilevel"/>
    <w:tmpl w:val="71648C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06B3"/>
    <w:multiLevelType w:val="hybridMultilevel"/>
    <w:tmpl w:val="531263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9FB"/>
    <w:multiLevelType w:val="hybridMultilevel"/>
    <w:tmpl w:val="2CB6C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D6C76"/>
    <w:multiLevelType w:val="hybridMultilevel"/>
    <w:tmpl w:val="7BE2317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C2B2D"/>
    <w:multiLevelType w:val="hybridMultilevel"/>
    <w:tmpl w:val="31B43C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230E4C"/>
    <w:multiLevelType w:val="hybridMultilevel"/>
    <w:tmpl w:val="4D669B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A5F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4E2E4F"/>
    <w:multiLevelType w:val="hybridMultilevel"/>
    <w:tmpl w:val="481CE996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9" w15:restartNumberingAfterBreak="0">
    <w:nsid w:val="69A07A99"/>
    <w:multiLevelType w:val="multilevel"/>
    <w:tmpl w:val="0F6039B2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lowerLetter"/>
      <w:lvlText w:val="%2."/>
      <w:lvlJc w:val="left"/>
      <w:pPr>
        <w:ind w:left="1800" w:firstLine="0"/>
      </w:pPr>
    </w:lvl>
    <w:lvl w:ilvl="2">
      <w:start w:val="1"/>
      <w:numFmt w:val="lowerRoman"/>
      <w:lvlText w:val="%3."/>
      <w:lvlJc w:val="right"/>
      <w:pPr>
        <w:ind w:left="2520" w:firstLine="0"/>
      </w:pPr>
    </w:lvl>
    <w:lvl w:ilvl="3">
      <w:start w:val="1"/>
      <w:numFmt w:val="decimal"/>
      <w:lvlText w:val="%4."/>
      <w:lvlJc w:val="left"/>
      <w:pPr>
        <w:ind w:left="3240" w:firstLine="0"/>
      </w:pPr>
    </w:lvl>
    <w:lvl w:ilvl="4">
      <w:start w:val="1"/>
      <w:numFmt w:val="lowerLetter"/>
      <w:lvlText w:val="%5."/>
      <w:lvlJc w:val="left"/>
      <w:pPr>
        <w:ind w:left="3960" w:firstLine="0"/>
      </w:pPr>
    </w:lvl>
    <w:lvl w:ilvl="5">
      <w:start w:val="1"/>
      <w:numFmt w:val="lowerRoman"/>
      <w:lvlText w:val="%6."/>
      <w:lvlJc w:val="right"/>
      <w:pPr>
        <w:ind w:left="4680" w:firstLine="0"/>
      </w:pPr>
    </w:lvl>
    <w:lvl w:ilvl="6">
      <w:start w:val="1"/>
      <w:numFmt w:val="decimal"/>
      <w:lvlText w:val="%7."/>
      <w:lvlJc w:val="left"/>
      <w:pPr>
        <w:ind w:left="5400" w:firstLine="0"/>
      </w:pPr>
    </w:lvl>
    <w:lvl w:ilvl="7">
      <w:start w:val="1"/>
      <w:numFmt w:val="lowerLetter"/>
      <w:lvlText w:val="%8."/>
      <w:lvlJc w:val="left"/>
      <w:pPr>
        <w:ind w:left="6120" w:firstLine="0"/>
      </w:pPr>
    </w:lvl>
    <w:lvl w:ilvl="8">
      <w:start w:val="1"/>
      <w:numFmt w:val="lowerRoman"/>
      <w:lvlText w:val="%9."/>
      <w:lvlJc w:val="right"/>
      <w:pPr>
        <w:ind w:left="6840" w:firstLine="0"/>
      </w:pPr>
    </w:lvl>
  </w:abstractNum>
  <w:abstractNum w:abstractNumId="10" w15:restartNumberingAfterBreak="0">
    <w:nsid w:val="766C537A"/>
    <w:multiLevelType w:val="hybridMultilevel"/>
    <w:tmpl w:val="584CF29C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1" w15:restartNumberingAfterBreak="0">
    <w:nsid w:val="7AF428EE"/>
    <w:multiLevelType w:val="multilevel"/>
    <w:tmpl w:val="7D467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34663922">
    <w:abstractNumId w:val="4"/>
  </w:num>
  <w:num w:numId="2" w16cid:durableId="1352151178">
    <w:abstractNumId w:val="3"/>
  </w:num>
  <w:num w:numId="3" w16cid:durableId="1099719699">
    <w:abstractNumId w:val="8"/>
  </w:num>
  <w:num w:numId="4" w16cid:durableId="986322008">
    <w:abstractNumId w:val="10"/>
  </w:num>
  <w:num w:numId="5" w16cid:durableId="881407684">
    <w:abstractNumId w:val="5"/>
  </w:num>
  <w:num w:numId="6" w16cid:durableId="58553702">
    <w:abstractNumId w:val="1"/>
  </w:num>
  <w:num w:numId="7" w16cid:durableId="474562782">
    <w:abstractNumId w:val="9"/>
  </w:num>
  <w:num w:numId="8" w16cid:durableId="1701324118">
    <w:abstractNumId w:val="6"/>
  </w:num>
  <w:num w:numId="9" w16cid:durableId="636882683">
    <w:abstractNumId w:val="11"/>
  </w:num>
  <w:num w:numId="10" w16cid:durableId="1098720773">
    <w:abstractNumId w:val="2"/>
  </w:num>
  <w:num w:numId="11" w16cid:durableId="1077629735">
    <w:abstractNumId w:val="0"/>
  </w:num>
  <w:num w:numId="12" w16cid:durableId="1155798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28"/>
    <w:rsid w:val="00011B5C"/>
    <w:rsid w:val="00025F32"/>
    <w:rsid w:val="0004565B"/>
    <w:rsid w:val="00046F70"/>
    <w:rsid w:val="000532D0"/>
    <w:rsid w:val="000B629F"/>
    <w:rsid w:val="001027D0"/>
    <w:rsid w:val="0015737E"/>
    <w:rsid w:val="00164DCE"/>
    <w:rsid w:val="0016523A"/>
    <w:rsid w:val="00196DDC"/>
    <w:rsid w:val="001B2D86"/>
    <w:rsid w:val="00251E01"/>
    <w:rsid w:val="00255554"/>
    <w:rsid w:val="002A3EF0"/>
    <w:rsid w:val="00316A06"/>
    <w:rsid w:val="0032254A"/>
    <w:rsid w:val="00331F01"/>
    <w:rsid w:val="00386AEE"/>
    <w:rsid w:val="003D40E0"/>
    <w:rsid w:val="003D5F17"/>
    <w:rsid w:val="003E23E2"/>
    <w:rsid w:val="004354B2"/>
    <w:rsid w:val="00436F51"/>
    <w:rsid w:val="0044592B"/>
    <w:rsid w:val="004479B4"/>
    <w:rsid w:val="0047755E"/>
    <w:rsid w:val="004A6CA5"/>
    <w:rsid w:val="004B2EC4"/>
    <w:rsid w:val="00510178"/>
    <w:rsid w:val="00515255"/>
    <w:rsid w:val="00523A82"/>
    <w:rsid w:val="005308AB"/>
    <w:rsid w:val="005412D1"/>
    <w:rsid w:val="00541C04"/>
    <w:rsid w:val="00570CA9"/>
    <w:rsid w:val="0059192C"/>
    <w:rsid w:val="00597A24"/>
    <w:rsid w:val="005A0FFD"/>
    <w:rsid w:val="005A3AF7"/>
    <w:rsid w:val="005C6E28"/>
    <w:rsid w:val="005D00DF"/>
    <w:rsid w:val="005D442E"/>
    <w:rsid w:val="005F668C"/>
    <w:rsid w:val="00613107"/>
    <w:rsid w:val="00632E4E"/>
    <w:rsid w:val="0064103B"/>
    <w:rsid w:val="0064251A"/>
    <w:rsid w:val="006C4DF6"/>
    <w:rsid w:val="00734BF2"/>
    <w:rsid w:val="00745AEA"/>
    <w:rsid w:val="007C0917"/>
    <w:rsid w:val="007C7B78"/>
    <w:rsid w:val="007D460B"/>
    <w:rsid w:val="007F6269"/>
    <w:rsid w:val="008660F6"/>
    <w:rsid w:val="00890C7F"/>
    <w:rsid w:val="008B704F"/>
    <w:rsid w:val="008F1E62"/>
    <w:rsid w:val="00952C85"/>
    <w:rsid w:val="009646C1"/>
    <w:rsid w:val="009728C2"/>
    <w:rsid w:val="00977B07"/>
    <w:rsid w:val="00982252"/>
    <w:rsid w:val="009A37EA"/>
    <w:rsid w:val="009C204F"/>
    <w:rsid w:val="00A03A2F"/>
    <w:rsid w:val="00A134A9"/>
    <w:rsid w:val="00A17CB8"/>
    <w:rsid w:val="00A33BDF"/>
    <w:rsid w:val="00A50942"/>
    <w:rsid w:val="00A526E7"/>
    <w:rsid w:val="00A56D8A"/>
    <w:rsid w:val="00A60635"/>
    <w:rsid w:val="00A7692E"/>
    <w:rsid w:val="00A862DB"/>
    <w:rsid w:val="00B30E54"/>
    <w:rsid w:val="00B41B78"/>
    <w:rsid w:val="00B45056"/>
    <w:rsid w:val="00BA10C8"/>
    <w:rsid w:val="00BC77A2"/>
    <w:rsid w:val="00C368C5"/>
    <w:rsid w:val="00C73E4B"/>
    <w:rsid w:val="00CC5F2C"/>
    <w:rsid w:val="00CD0456"/>
    <w:rsid w:val="00CD1420"/>
    <w:rsid w:val="00CD1FC6"/>
    <w:rsid w:val="00CE5546"/>
    <w:rsid w:val="00D35D7D"/>
    <w:rsid w:val="00D43919"/>
    <w:rsid w:val="00D50E97"/>
    <w:rsid w:val="00D76E43"/>
    <w:rsid w:val="00D9296D"/>
    <w:rsid w:val="00DA6BAD"/>
    <w:rsid w:val="00DD2A29"/>
    <w:rsid w:val="00DE0660"/>
    <w:rsid w:val="00E25BEC"/>
    <w:rsid w:val="00E6356B"/>
    <w:rsid w:val="00E80615"/>
    <w:rsid w:val="00E85CFD"/>
    <w:rsid w:val="00E86150"/>
    <w:rsid w:val="00EA472C"/>
    <w:rsid w:val="00EC376B"/>
    <w:rsid w:val="00EC7604"/>
    <w:rsid w:val="00ED6F42"/>
    <w:rsid w:val="00EF04CE"/>
    <w:rsid w:val="00F1421D"/>
    <w:rsid w:val="00F249F0"/>
    <w:rsid w:val="00F71E01"/>
    <w:rsid w:val="00FC644F"/>
    <w:rsid w:val="00F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4702"/>
  <w15:docId w15:val="{2010C4CA-F2F8-4784-B961-B62E206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C641DF"/>
    <w:rPr>
      <w:color w:val="0000FF"/>
      <w:u w:val="singl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F6164B"/>
    <w:rPr>
      <w:rFonts w:ascii="Liberation Serif" w:eastAsia="Noto Sans CJK SC Regular" w:hAnsi="Liberation Serif" w:cs="Mangal"/>
      <w:kern w:val="2"/>
      <w:sz w:val="20"/>
      <w:szCs w:val="18"/>
      <w:lang w:val="en-US" w:eastAsia="zh-CN" w:bidi="hi-IN"/>
    </w:rPr>
  </w:style>
  <w:style w:type="character" w:styleId="Dokumentoinaosnumeris">
    <w:name w:val="endnote reference"/>
    <w:basedOn w:val="Numatytasispastraiposriftas"/>
    <w:uiPriority w:val="99"/>
    <w:semiHidden/>
    <w:unhideWhenUsed/>
    <w:qFormat/>
    <w:rsid w:val="00F6164B"/>
    <w:rPr>
      <w:vertAlign w:val="superscrip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F6164B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qFormat/>
    <w:rsid w:val="00F6164B"/>
    <w:rPr>
      <w:rFonts w:cs="Mangal"/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6164B"/>
    <w:rPr>
      <w:rFonts w:ascii="Segoe UI" w:hAnsi="Segoe UI" w:cs="Mangal"/>
      <w:sz w:val="18"/>
      <w:szCs w:val="16"/>
    </w:rPr>
  </w:style>
  <w:style w:type="paragraph" w:styleId="Sraopastraipa">
    <w:name w:val="List Paragraph"/>
    <w:basedOn w:val="prastasis"/>
    <w:uiPriority w:val="34"/>
    <w:qFormat/>
    <w:rsid w:val="00597A24"/>
    <w:pPr>
      <w:ind w:left="720"/>
      <w:contextualSpacing/>
    </w:pPr>
    <w:rPr>
      <w:rFonts w:cs="Mangal"/>
      <w:szCs w:val="21"/>
    </w:rPr>
  </w:style>
  <w:style w:type="paragraph" w:styleId="Pataisymai">
    <w:name w:val="Revision"/>
    <w:hidden/>
    <w:uiPriority w:val="99"/>
    <w:semiHidden/>
    <w:rsid w:val="00C73E4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7F207F9BCD4C33AD77B5F2D2FCFF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CAED6F-68E0-4730-B32F-A75B8030F4E1}"/>
      </w:docPartPr>
      <w:docPartBody>
        <w:p w:rsidR="009F0808" w:rsidRDefault="00B54DB3" w:rsidP="00B54DB3">
          <w:pPr>
            <w:pStyle w:val="A97F207F9BCD4C33AD77B5F2D2FCFFD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B3"/>
    <w:rsid w:val="000E31B7"/>
    <w:rsid w:val="0030070E"/>
    <w:rsid w:val="006C1E85"/>
    <w:rsid w:val="0083151D"/>
    <w:rsid w:val="00967699"/>
    <w:rsid w:val="009F0808"/>
    <w:rsid w:val="00A60244"/>
    <w:rsid w:val="00B54DB3"/>
    <w:rsid w:val="00B57CF1"/>
    <w:rsid w:val="00C36E1F"/>
    <w:rsid w:val="00CD26F9"/>
    <w:rsid w:val="00D01499"/>
    <w:rsid w:val="00D90DA3"/>
    <w:rsid w:val="00E966BE"/>
    <w:rsid w:val="00F46764"/>
    <w:rsid w:val="00F87E6A"/>
    <w:rsid w:val="00F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54DB3"/>
    <w:rPr>
      <w:color w:val="808080"/>
    </w:rPr>
  </w:style>
  <w:style w:type="paragraph" w:customStyle="1" w:styleId="A97F207F9BCD4C33AD77B5F2D2FCFFD8">
    <w:name w:val="A97F207F9BCD4C33AD77B5F2D2FCFFD8"/>
    <w:rsid w:val="00B54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29A3F0-A55E-4C74-B936-38A6CA503F8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AD07-DDB8-474D-805F-A6CD9F79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5</cp:revision>
  <cp:lastPrinted>2023-01-25T08:07:00Z</cp:lastPrinted>
  <dcterms:created xsi:type="dcterms:W3CDTF">2024-03-12T10:52:00Z</dcterms:created>
  <dcterms:modified xsi:type="dcterms:W3CDTF">2024-03-13T13:14:00Z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