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3E4DE99A" w:rsidR="00C62447" w:rsidRDefault="00FA4CC2" w:rsidP="00DD1F44">
      <w:pPr>
        <w:pStyle w:val="Pavadinimas"/>
      </w:pPr>
      <w:r>
        <w:t>PLANAVIMO IR PLĖTROS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58494A36" w:rsidR="00DD1F44" w:rsidRDefault="00DD1F44" w:rsidP="00DD1F44">
      <w:pPr>
        <w:jc w:val="center"/>
        <w:rPr>
          <w:b/>
          <w:bCs/>
          <w:caps/>
        </w:rPr>
      </w:pPr>
      <w:r>
        <w:rPr>
          <w:b/>
          <w:bCs/>
          <w:caps/>
        </w:rPr>
        <w:t>Dėl TARYBOS sprendimo „</w:t>
      </w:r>
      <w:r w:rsidR="00C87A55" w:rsidRPr="00C87A55">
        <w:rPr>
          <w:b/>
          <w:bCs/>
          <w:noProof/>
        </w:rPr>
        <w:t>DĖL PROJEKTO „</w:t>
      </w:r>
      <w:r w:rsidR="00AA4FFD" w:rsidRPr="00AA4FFD">
        <w:rPr>
          <w:b/>
          <w:bCs/>
          <w:noProof/>
        </w:rPr>
        <w:t>SOCIALINIO BŪSTO PLĖTRA ŠILUTĖS RAJONO SAVIVALDYBĖJE</w:t>
      </w:r>
      <w:r w:rsidR="00C87A55" w:rsidRPr="00C87A55">
        <w:rPr>
          <w:b/>
          <w:bCs/>
          <w:noProof/>
        </w:rPr>
        <w:t>“ ĮGYVENDINIMO</w:t>
      </w:r>
      <w:r>
        <w:rPr>
          <w:b/>
          <w:bCs/>
          <w:caps/>
          <w:sz w:val="22"/>
        </w:rPr>
        <w:t>“</w:t>
      </w:r>
      <w:r>
        <w:rPr>
          <w:b/>
          <w:bCs/>
          <w:caps/>
        </w:rPr>
        <w:t xml:space="preserve"> projekto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71FDE6F3" w14:textId="6449846E" w:rsidR="00DD1F44" w:rsidRPr="008E22C6" w:rsidRDefault="00C62447" w:rsidP="00DD1F44">
      <w:pPr>
        <w:tabs>
          <w:tab w:val="left" w:pos="567"/>
        </w:tabs>
        <w:jc w:val="center"/>
      </w:pPr>
      <w:r w:rsidRPr="008E22C6">
        <w:t>202</w:t>
      </w:r>
      <w:r w:rsidR="00C87A55">
        <w:t>4</w:t>
      </w:r>
      <w:r w:rsidRPr="008E22C6">
        <w:t xml:space="preserve"> </w:t>
      </w:r>
      <w:r w:rsidR="00D56540" w:rsidRPr="008E22C6">
        <w:t xml:space="preserve">m. </w:t>
      </w:r>
      <w:r w:rsidR="00AA4FFD">
        <w:t>vasario</w:t>
      </w:r>
      <w:r w:rsidR="00C87A55">
        <w:t xml:space="preserve"> </w:t>
      </w:r>
      <w:r w:rsidR="00810F4F">
        <w:t>8</w:t>
      </w:r>
      <w:r w:rsidR="00D56540" w:rsidRPr="008E22C6">
        <w:t xml:space="preserve"> </w:t>
      </w:r>
      <w:r w:rsidR="00DD1F44" w:rsidRPr="008E22C6">
        <w:t>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0C0B52C5" w14:textId="4E595B53" w:rsidR="00B70A7B" w:rsidRDefault="006060C6" w:rsidP="006060C6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Projektas rengiamas pagal 2022–2030 m. 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>Klaipėdos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regiono plėtros planą</w:t>
            </w:r>
            <w:r w:rsidR="00766A65">
              <w:rPr>
                <w:color w:val="000000"/>
                <w:szCs w:val="24"/>
                <w:shd w:val="clear" w:color="auto" w:fill="FFFFFF"/>
                <w:lang w:eastAsia="lt-LT"/>
              </w:rPr>
              <w:t>,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Pažangos priemonės Nr. 09-003-02-02-11 (RE) „Sumažinti pažeidžiamų visuomenės grupių gerovės teritorinius skirtumus“ finansavimo gaires (toliau – Gairės) ir kvietimą teikti projektų įgyvendinimo planus „Socialinio būsto fondo plėtra Klaipėdos regione I“ Nr. 2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>3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>-40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>1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>-P. Projekto</w:t>
            </w:r>
            <w:r w:rsidR="00F85587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„Socialinio būsto plėtra Šilutės rajono savivaldybėje“ (toliau – Projektas)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finansavimo šaltiniai</w:t>
            </w:r>
            <w:r w:rsidR="00E20913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–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Europos regioninės plėtros fondo lėšos ir savivaldybės biudžeto lėšos. </w:t>
            </w:r>
          </w:p>
          <w:p w14:paraId="3E31E9AC" w14:textId="49238A8C" w:rsidR="00F85587" w:rsidRPr="00F85587" w:rsidRDefault="00F85587" w:rsidP="00F85587">
            <w:pPr>
              <w:ind w:firstLine="5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Pareiškėjas ir vykdytojas – Šilutės rajono savivaldybės administracija.</w:t>
            </w:r>
          </w:p>
          <w:p w14:paraId="28D6B577" w14:textId="1905321E" w:rsidR="006060C6" w:rsidRDefault="006060C6" w:rsidP="006060C6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Cs/>
                <w:shd w:val="clear" w:color="auto" w:fill="FFFFFF"/>
                <w:lang w:eastAsia="lt-LT"/>
              </w:rPr>
            </w:pPr>
            <w:r w:rsidRPr="006060C6">
              <w:rPr>
                <w:iCs/>
                <w:shd w:val="clear" w:color="auto" w:fill="FFFFFF"/>
                <w:lang w:eastAsia="lt-LT"/>
              </w:rPr>
              <w:t xml:space="preserve">Sprendimo tikslas – įvykdyti </w:t>
            </w:r>
            <w:r w:rsidR="00F85587">
              <w:rPr>
                <w:iCs/>
                <w:shd w:val="clear" w:color="auto" w:fill="FFFFFF"/>
                <w:lang w:eastAsia="lt-LT"/>
              </w:rPr>
              <w:t>P</w:t>
            </w:r>
            <w:r w:rsidRPr="006060C6">
              <w:rPr>
                <w:iCs/>
                <w:shd w:val="clear" w:color="auto" w:fill="FFFFFF"/>
                <w:lang w:eastAsia="lt-LT"/>
              </w:rPr>
              <w:t xml:space="preserve">rojekto išankstines sąlygas, būtinas </w:t>
            </w:r>
            <w:r w:rsidR="00F85587">
              <w:rPr>
                <w:iCs/>
                <w:shd w:val="clear" w:color="auto" w:fill="FFFFFF"/>
                <w:lang w:eastAsia="lt-LT"/>
              </w:rPr>
              <w:t>P</w:t>
            </w:r>
            <w:r w:rsidRPr="006060C6">
              <w:rPr>
                <w:iCs/>
                <w:shd w:val="clear" w:color="auto" w:fill="FFFFFF"/>
                <w:lang w:eastAsia="lt-LT"/>
              </w:rPr>
              <w:t>rojekto įgyvendinimui ir sukurtų paslaugų tęstinum</w:t>
            </w:r>
            <w:r w:rsidR="00E20913">
              <w:rPr>
                <w:iCs/>
                <w:shd w:val="clear" w:color="auto" w:fill="FFFFFF"/>
                <w:lang w:eastAsia="lt-LT"/>
              </w:rPr>
              <w:t>ui</w:t>
            </w:r>
            <w:r w:rsidRPr="006060C6">
              <w:rPr>
                <w:iCs/>
                <w:shd w:val="clear" w:color="auto" w:fill="FFFFFF"/>
                <w:lang w:eastAsia="lt-LT"/>
              </w:rPr>
              <w:t xml:space="preserve"> užtikrin</w:t>
            </w:r>
            <w:r w:rsidR="00E20913">
              <w:rPr>
                <w:iCs/>
                <w:shd w:val="clear" w:color="auto" w:fill="FFFFFF"/>
                <w:lang w:eastAsia="lt-LT"/>
              </w:rPr>
              <w:t>ti</w:t>
            </w:r>
            <w:r w:rsidRPr="006060C6">
              <w:rPr>
                <w:iCs/>
                <w:shd w:val="clear" w:color="auto" w:fill="FFFFFF"/>
                <w:lang w:eastAsia="lt-LT"/>
              </w:rPr>
              <w:t xml:space="preserve">. Sprendimu patvirtinamas </w:t>
            </w:r>
            <w:r>
              <w:rPr>
                <w:iCs/>
                <w:shd w:val="clear" w:color="auto" w:fill="FFFFFF"/>
                <w:lang w:eastAsia="lt-LT"/>
              </w:rPr>
              <w:t>Šilutės</w:t>
            </w:r>
            <w:r w:rsidRPr="006060C6">
              <w:rPr>
                <w:iCs/>
                <w:shd w:val="clear" w:color="auto" w:fill="FFFFFF"/>
                <w:lang w:eastAsia="lt-LT"/>
              </w:rPr>
              <w:t xml:space="preserve"> rajono savivaldybės administracijos ketinimas įgyvendinti </w:t>
            </w:r>
            <w:r w:rsidR="00F85587">
              <w:rPr>
                <w:iCs/>
                <w:shd w:val="clear" w:color="auto" w:fill="FFFFFF"/>
                <w:lang w:eastAsia="lt-LT"/>
              </w:rPr>
              <w:t>P</w:t>
            </w:r>
            <w:r w:rsidRPr="006060C6">
              <w:rPr>
                <w:iCs/>
                <w:shd w:val="clear" w:color="auto" w:fill="FFFFFF"/>
                <w:lang w:eastAsia="lt-LT"/>
              </w:rPr>
              <w:t>rojektą, skyrus finansavimą</w:t>
            </w:r>
            <w:r w:rsidR="00E20913">
              <w:rPr>
                <w:iCs/>
                <w:shd w:val="clear" w:color="auto" w:fill="FFFFFF"/>
                <w:lang w:eastAsia="lt-LT"/>
              </w:rPr>
              <w:t>,</w:t>
            </w:r>
            <w:r w:rsidRPr="006060C6">
              <w:rPr>
                <w:iCs/>
                <w:shd w:val="clear" w:color="auto" w:fill="FFFFFF"/>
                <w:lang w:eastAsia="lt-LT"/>
              </w:rPr>
              <w:t xml:space="preserve"> ir įsipareigojama užtikrinti, kad priemonės lėšomis finansuoti būstai 5 metus po </w:t>
            </w:r>
            <w:r w:rsidR="00F85587">
              <w:rPr>
                <w:iCs/>
                <w:shd w:val="clear" w:color="auto" w:fill="FFFFFF"/>
                <w:lang w:eastAsia="lt-LT"/>
              </w:rPr>
              <w:t>P</w:t>
            </w:r>
            <w:r w:rsidRPr="006060C6">
              <w:rPr>
                <w:iCs/>
                <w:shd w:val="clear" w:color="auto" w:fill="FFFFFF"/>
                <w:lang w:eastAsia="lt-LT"/>
              </w:rPr>
              <w:t>rojekto įgyvendinimo pabaigos liks socialinio būsto fondo sąraše.</w:t>
            </w:r>
          </w:p>
          <w:p w14:paraId="461761BB" w14:textId="17953666" w:rsidR="0049399B" w:rsidRPr="006060C6" w:rsidRDefault="0049399B" w:rsidP="004F6D44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Cs/>
                <w:shd w:val="clear" w:color="auto" w:fill="FFFFFF"/>
                <w:lang w:eastAsia="lt-LT"/>
              </w:rPr>
            </w:pPr>
          </w:p>
        </w:tc>
      </w:tr>
      <w:tr w:rsidR="00DD1F44" w14:paraId="0CC9B835" w14:textId="77777777" w:rsidTr="00DD1F44">
        <w:tc>
          <w:tcPr>
            <w:tcW w:w="9854" w:type="dxa"/>
          </w:tcPr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45D97E8D" w14:textId="65D90E8A" w:rsidR="004F6D44" w:rsidRDefault="004F6D44" w:rsidP="004F6D44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Cs/>
                <w:shd w:val="clear" w:color="auto" w:fill="FFFFFF"/>
                <w:lang w:eastAsia="lt-LT"/>
              </w:rPr>
            </w:pPr>
            <w:r w:rsidRPr="004F6D44">
              <w:rPr>
                <w:iCs/>
                <w:shd w:val="clear" w:color="auto" w:fill="FFFFFF"/>
                <w:lang w:eastAsia="lt-LT"/>
              </w:rPr>
              <w:t xml:space="preserve">Šiuo </w:t>
            </w:r>
            <w:r w:rsidR="00F85587">
              <w:rPr>
                <w:iCs/>
                <w:shd w:val="clear" w:color="auto" w:fill="FFFFFF"/>
                <w:lang w:eastAsia="lt-LT"/>
              </w:rPr>
              <w:t>P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rojektu sprendžiama pagrindinė </w:t>
            </w:r>
            <w:r>
              <w:rPr>
                <w:iCs/>
                <w:shd w:val="clear" w:color="auto" w:fill="FFFFFF"/>
                <w:lang w:eastAsia="lt-LT"/>
              </w:rPr>
              <w:t>Klaipėdos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 regiono plėtros plane nustatyta problema – </w:t>
            </w:r>
            <w:r>
              <w:rPr>
                <w:iCs/>
                <w:shd w:val="clear" w:color="auto" w:fill="FFFFFF"/>
                <w:lang w:eastAsia="lt-LT"/>
              </w:rPr>
              <w:t>n</w:t>
            </w:r>
            <w:r w:rsidRPr="004F6D44">
              <w:rPr>
                <w:iCs/>
                <w:shd w:val="clear" w:color="auto" w:fill="FFFFFF"/>
                <w:lang w:eastAsia="lt-LT"/>
              </w:rPr>
              <w:t>epakankamas švietimo, sveikatos ir socialinių paslaugų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prieinamumas, kokybiškų paslaugų trūkumas ir šalinama jos priežastis – </w:t>
            </w:r>
            <w:r>
              <w:rPr>
                <w:iCs/>
                <w:shd w:val="clear" w:color="auto" w:fill="FFFFFF"/>
                <w:lang w:eastAsia="lt-LT"/>
              </w:rPr>
              <w:t>n</w:t>
            </w:r>
            <w:r w:rsidRPr="004F6D44">
              <w:rPr>
                <w:iCs/>
                <w:shd w:val="clear" w:color="auto" w:fill="FFFFFF"/>
                <w:lang w:eastAsia="lt-LT"/>
              </w:rPr>
              <w:t>epakankamas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socialinių paslaugų spektras ir paslaugų prieinamumo trūkumas. Nustatytas nepakankamas socialinio būsto fondas </w:t>
            </w:r>
            <w:r>
              <w:rPr>
                <w:iCs/>
                <w:shd w:val="clear" w:color="auto" w:fill="FFFFFF"/>
                <w:lang w:eastAsia="lt-LT"/>
              </w:rPr>
              <w:t>Šilutės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 rajon</w:t>
            </w:r>
            <w:r>
              <w:rPr>
                <w:iCs/>
                <w:shd w:val="clear" w:color="auto" w:fill="FFFFFF"/>
                <w:lang w:eastAsia="lt-LT"/>
              </w:rPr>
              <w:t>o savivaldybėje</w:t>
            </w:r>
            <w:r w:rsidRPr="004F6D44">
              <w:rPr>
                <w:iCs/>
                <w:shd w:val="clear" w:color="auto" w:fill="FFFFFF"/>
                <w:lang w:eastAsia="lt-LT"/>
              </w:rPr>
              <w:t>, 202</w:t>
            </w:r>
            <w:r>
              <w:rPr>
                <w:iCs/>
                <w:shd w:val="clear" w:color="auto" w:fill="FFFFFF"/>
                <w:lang w:eastAsia="lt-LT"/>
              </w:rPr>
              <w:t>4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 m. duomenimis </w:t>
            </w:r>
            <w:r>
              <w:rPr>
                <w:iCs/>
                <w:shd w:val="clear" w:color="auto" w:fill="FFFFFF"/>
                <w:lang w:eastAsia="lt-LT"/>
              </w:rPr>
              <w:t>Šilutės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 rajon</w:t>
            </w:r>
            <w:r>
              <w:rPr>
                <w:iCs/>
                <w:shd w:val="clear" w:color="auto" w:fill="FFFFFF"/>
                <w:lang w:eastAsia="lt-LT"/>
              </w:rPr>
              <w:t>o savivaldybėje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 laukiančių socialinio būsto buvo 1</w:t>
            </w:r>
            <w:r>
              <w:rPr>
                <w:iCs/>
                <w:shd w:val="clear" w:color="auto" w:fill="FFFFFF"/>
                <w:lang w:eastAsia="lt-LT"/>
              </w:rPr>
              <w:t>83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 asmenys (šeimos).</w:t>
            </w:r>
          </w:p>
          <w:p w14:paraId="6BF7FD5B" w14:textId="776058A0" w:rsidR="00F85587" w:rsidRDefault="00F85587" w:rsidP="00310DC9">
            <w:pPr>
              <w:ind w:firstLine="540"/>
              <w:jc w:val="both"/>
              <w:rPr>
                <w:szCs w:val="24"/>
                <w:lang w:eastAsia="lt-LT"/>
              </w:rPr>
            </w:pPr>
            <w:r w:rsidRPr="00F85587">
              <w:rPr>
                <w:szCs w:val="24"/>
                <w:lang w:eastAsia="lt-LT"/>
              </w:rPr>
              <w:t>Projekto tikslinė grupė</w:t>
            </w:r>
            <w:r>
              <w:rPr>
                <w:szCs w:val="24"/>
                <w:lang w:eastAsia="lt-LT"/>
              </w:rPr>
              <w:t xml:space="preserve">: </w:t>
            </w:r>
            <w:r w:rsidRPr="00F85587">
              <w:rPr>
                <w:szCs w:val="24"/>
                <w:lang w:eastAsia="lt-LT"/>
              </w:rPr>
              <w:t>1) gausios šeimos</w:t>
            </w:r>
            <w:r>
              <w:rPr>
                <w:szCs w:val="24"/>
                <w:lang w:eastAsia="lt-LT"/>
              </w:rPr>
              <w:t xml:space="preserve"> </w:t>
            </w:r>
            <w:r w:rsidRPr="00F85587">
              <w:rPr>
                <w:szCs w:val="24"/>
                <w:lang w:eastAsia="lt-LT"/>
              </w:rPr>
              <w:t>(šeimos, auginančios tris ir daugiau vaikų), 2) asmenys su negalia, (turintys judėjimo ir (ar) psichikos</w:t>
            </w:r>
            <w:r>
              <w:rPr>
                <w:szCs w:val="24"/>
                <w:lang w:eastAsia="lt-LT"/>
              </w:rPr>
              <w:t xml:space="preserve"> </w:t>
            </w:r>
            <w:r w:rsidRPr="00F85587">
              <w:rPr>
                <w:szCs w:val="24"/>
                <w:lang w:eastAsia="lt-LT"/>
              </w:rPr>
              <w:t>ir (ar) proto ir (ar) regos negalią, atitinkantys Pritaikymo neįgaliesiems aprašo 3 punkto 3.1</w:t>
            </w:r>
            <w:r w:rsidR="00E20913">
              <w:rPr>
                <w:szCs w:val="24"/>
                <w:lang w:eastAsia="lt-LT"/>
              </w:rPr>
              <w:t>–</w:t>
            </w:r>
            <w:r w:rsidRPr="00F85587">
              <w:rPr>
                <w:szCs w:val="24"/>
                <w:lang w:eastAsia="lt-LT"/>
              </w:rPr>
              <w:t>3.3</w:t>
            </w:r>
            <w:r>
              <w:rPr>
                <w:szCs w:val="24"/>
                <w:lang w:eastAsia="lt-LT"/>
              </w:rPr>
              <w:t xml:space="preserve"> </w:t>
            </w:r>
            <w:r w:rsidRPr="00F85587">
              <w:rPr>
                <w:szCs w:val="24"/>
                <w:lang w:eastAsia="lt-LT"/>
              </w:rPr>
              <w:t>papunkčiuose įvardytus asmenis), kuriems reikalingas specialiai pritaikytas būstas, turintys teisę į</w:t>
            </w:r>
            <w:r>
              <w:rPr>
                <w:szCs w:val="24"/>
                <w:lang w:eastAsia="lt-LT"/>
              </w:rPr>
              <w:t xml:space="preserve"> </w:t>
            </w:r>
            <w:r w:rsidRPr="00F85587">
              <w:rPr>
                <w:szCs w:val="24"/>
                <w:lang w:eastAsia="lt-LT"/>
              </w:rPr>
              <w:t>socialinio būsto nuomą ir įrašyti į regiono savivaldybių laukiančiųjų socialinio būsto sąrašus. Šios</w:t>
            </w:r>
            <w:r>
              <w:rPr>
                <w:szCs w:val="24"/>
                <w:lang w:eastAsia="lt-LT"/>
              </w:rPr>
              <w:t xml:space="preserve"> </w:t>
            </w:r>
            <w:r w:rsidRPr="00F85587">
              <w:rPr>
                <w:szCs w:val="24"/>
                <w:lang w:eastAsia="lt-LT"/>
              </w:rPr>
              <w:t>tikslinės grupės pasirinktos atsižvelgiant į tai, kad paslaugos poreikis joms yra didžiausias, nes</w:t>
            </w:r>
            <w:r>
              <w:rPr>
                <w:szCs w:val="24"/>
                <w:lang w:eastAsia="lt-LT"/>
              </w:rPr>
              <w:t xml:space="preserve"> </w:t>
            </w:r>
            <w:r w:rsidRPr="00F85587">
              <w:rPr>
                <w:szCs w:val="24"/>
                <w:lang w:eastAsia="lt-LT"/>
              </w:rPr>
              <w:t>tinkamo būsto pasiūlos šioms tikslinėms grupėms rinkoje nėra arba ji yra nepakankama.</w:t>
            </w:r>
          </w:p>
          <w:p w14:paraId="1A7DC360" w14:textId="33008E89" w:rsidR="00F85587" w:rsidRDefault="00496D5B" w:rsidP="00496D5B">
            <w:pPr>
              <w:ind w:firstLine="540"/>
              <w:jc w:val="both"/>
              <w:rPr>
                <w:szCs w:val="24"/>
                <w:lang w:eastAsia="lt-LT"/>
              </w:rPr>
            </w:pPr>
            <w:r w:rsidRPr="00496D5B">
              <w:rPr>
                <w:szCs w:val="24"/>
                <w:lang w:eastAsia="lt-LT"/>
              </w:rPr>
              <w:t>Projekto metu planuojama įsigyti 37 socialinius būstus, iš jų 18 bus skirta</w:t>
            </w:r>
            <w:r>
              <w:rPr>
                <w:szCs w:val="24"/>
                <w:lang w:eastAsia="lt-LT"/>
              </w:rPr>
              <w:t xml:space="preserve"> </w:t>
            </w:r>
            <w:r w:rsidRPr="00496D5B">
              <w:rPr>
                <w:szCs w:val="24"/>
                <w:lang w:eastAsia="lt-LT"/>
              </w:rPr>
              <w:t>daugiavaikėms šeimoms, 19 būstų – asmenims su negalia (turintiems</w:t>
            </w:r>
            <w:r>
              <w:rPr>
                <w:szCs w:val="24"/>
                <w:lang w:eastAsia="lt-LT"/>
              </w:rPr>
              <w:t xml:space="preserve"> </w:t>
            </w:r>
            <w:r w:rsidRPr="00496D5B">
              <w:rPr>
                <w:szCs w:val="24"/>
                <w:lang w:eastAsia="lt-LT"/>
              </w:rPr>
              <w:t>judėjimo ir (ar) psichikos ir (ar) proto negalią ir (ar) regos negalią) bei</w:t>
            </w:r>
            <w:r>
              <w:rPr>
                <w:szCs w:val="24"/>
                <w:lang w:eastAsia="lt-LT"/>
              </w:rPr>
              <w:t xml:space="preserve"> </w:t>
            </w:r>
            <w:r w:rsidRPr="00496D5B">
              <w:rPr>
                <w:szCs w:val="24"/>
                <w:lang w:eastAsia="lt-LT"/>
              </w:rPr>
              <w:t>visi būstai bus pritaikyti pagal jų poreikius. Projektu minimaliai siekiama</w:t>
            </w:r>
            <w:r>
              <w:rPr>
                <w:szCs w:val="24"/>
                <w:lang w:eastAsia="lt-LT"/>
              </w:rPr>
              <w:t xml:space="preserve"> </w:t>
            </w:r>
            <w:r w:rsidRPr="00496D5B">
              <w:rPr>
                <w:szCs w:val="24"/>
                <w:lang w:eastAsia="lt-LT"/>
              </w:rPr>
              <w:t>20 proc. sutrumpinti laukiančiųjų eilę, suteikti ne mažiau kaip 37</w:t>
            </w:r>
            <w:r>
              <w:rPr>
                <w:szCs w:val="24"/>
                <w:lang w:eastAsia="lt-LT"/>
              </w:rPr>
              <w:t xml:space="preserve"> </w:t>
            </w:r>
            <w:r w:rsidRPr="00496D5B">
              <w:rPr>
                <w:szCs w:val="24"/>
                <w:lang w:eastAsia="lt-LT"/>
              </w:rPr>
              <w:t>lengvatinių būstų, išplečiant jį ne mažiau 1 200 kv. m. Siekiama įrengti</w:t>
            </w:r>
            <w:r>
              <w:rPr>
                <w:szCs w:val="24"/>
                <w:lang w:eastAsia="lt-LT"/>
              </w:rPr>
              <w:t xml:space="preserve"> </w:t>
            </w:r>
            <w:r w:rsidRPr="00496D5B">
              <w:rPr>
                <w:szCs w:val="24"/>
                <w:lang w:eastAsia="lt-LT"/>
              </w:rPr>
              <w:t>kuo aukštesnės energinės klasės būstus, prisidėti prie universalaus</w:t>
            </w:r>
            <w:r>
              <w:rPr>
                <w:szCs w:val="24"/>
                <w:lang w:eastAsia="lt-LT"/>
              </w:rPr>
              <w:t xml:space="preserve"> </w:t>
            </w:r>
            <w:r w:rsidRPr="00496D5B">
              <w:rPr>
                <w:szCs w:val="24"/>
                <w:lang w:eastAsia="lt-LT"/>
              </w:rPr>
              <w:t>dizaino principo įgyvendinimo ir darnaus vystymosi principo</w:t>
            </w:r>
            <w:r>
              <w:rPr>
                <w:szCs w:val="24"/>
                <w:lang w:eastAsia="lt-LT"/>
              </w:rPr>
              <w:t xml:space="preserve"> </w:t>
            </w:r>
            <w:r w:rsidRPr="00496D5B">
              <w:rPr>
                <w:szCs w:val="24"/>
                <w:lang w:eastAsia="lt-LT"/>
              </w:rPr>
              <w:t>įgyvendinimo.</w:t>
            </w:r>
            <w:r>
              <w:rPr>
                <w:szCs w:val="24"/>
                <w:lang w:eastAsia="lt-LT"/>
              </w:rPr>
              <w:t xml:space="preserve"> </w:t>
            </w:r>
            <w:r w:rsidRPr="00496D5B">
              <w:rPr>
                <w:szCs w:val="24"/>
                <w:lang w:eastAsia="lt-LT"/>
              </w:rPr>
              <w:t>Buvo analizuotos kelios alternatyvos: turto įsigijimas;</w:t>
            </w:r>
            <w:r>
              <w:rPr>
                <w:szCs w:val="24"/>
                <w:lang w:eastAsia="lt-LT"/>
              </w:rPr>
              <w:t xml:space="preserve"> </w:t>
            </w:r>
            <w:r w:rsidRPr="00496D5B">
              <w:rPr>
                <w:szCs w:val="24"/>
                <w:lang w:eastAsia="lt-LT"/>
              </w:rPr>
              <w:t>naujų pastatų statyba. Atlikus rinkos tyrimą</w:t>
            </w:r>
            <w:r>
              <w:rPr>
                <w:szCs w:val="24"/>
                <w:lang w:eastAsia="lt-LT"/>
              </w:rPr>
              <w:t xml:space="preserve"> </w:t>
            </w:r>
            <w:r w:rsidRPr="00496D5B">
              <w:rPr>
                <w:szCs w:val="24"/>
                <w:lang w:eastAsia="lt-LT"/>
              </w:rPr>
              <w:t>nuspręsta pasirinkti būstų įsigijimo būdą, kadangi statybos kaina viršija</w:t>
            </w:r>
            <w:r>
              <w:rPr>
                <w:szCs w:val="24"/>
                <w:lang w:eastAsia="lt-LT"/>
              </w:rPr>
              <w:t xml:space="preserve"> </w:t>
            </w:r>
            <w:r w:rsidRPr="00496D5B">
              <w:rPr>
                <w:szCs w:val="24"/>
                <w:lang w:eastAsia="lt-LT"/>
              </w:rPr>
              <w:t xml:space="preserve">planuojamas lėšas ir būtų finansiškai neatsiperkanti. </w:t>
            </w:r>
          </w:p>
          <w:p w14:paraId="4459F8D5" w14:textId="768F45B6" w:rsidR="00496D5B" w:rsidRPr="00496D5B" w:rsidRDefault="00496D5B" w:rsidP="00496D5B">
            <w:pPr>
              <w:ind w:firstLine="540"/>
              <w:jc w:val="both"/>
              <w:rPr>
                <w:szCs w:val="24"/>
                <w:lang w:eastAsia="lt-LT"/>
              </w:rPr>
            </w:pPr>
            <w:r w:rsidRPr="00496D5B">
              <w:rPr>
                <w:szCs w:val="24"/>
                <w:lang w:eastAsia="lt-LT"/>
              </w:rPr>
              <w:t xml:space="preserve">Pagal Gairėse nurodytas finansavimo sąlygas, didžiausia galima šio </w:t>
            </w:r>
            <w:r>
              <w:rPr>
                <w:szCs w:val="24"/>
                <w:lang w:eastAsia="lt-LT"/>
              </w:rPr>
              <w:t>P</w:t>
            </w:r>
            <w:r w:rsidRPr="00496D5B">
              <w:rPr>
                <w:szCs w:val="24"/>
                <w:lang w:eastAsia="lt-LT"/>
              </w:rPr>
              <w:t xml:space="preserve">rojekto iš ES fondų lėšų finansuojamoji dalis yra 85 proc. visų tinkamų finansuoti </w:t>
            </w:r>
            <w:r>
              <w:rPr>
                <w:szCs w:val="24"/>
                <w:lang w:eastAsia="lt-LT"/>
              </w:rPr>
              <w:t>P</w:t>
            </w:r>
            <w:r w:rsidRPr="00496D5B">
              <w:rPr>
                <w:szCs w:val="24"/>
                <w:lang w:eastAsia="lt-LT"/>
              </w:rPr>
              <w:t xml:space="preserve">rojekto išlaidų. Pareiškėjas privalo prisidėti prie </w:t>
            </w:r>
            <w:r>
              <w:rPr>
                <w:szCs w:val="24"/>
                <w:lang w:eastAsia="lt-LT"/>
              </w:rPr>
              <w:t>P</w:t>
            </w:r>
            <w:r w:rsidRPr="00496D5B">
              <w:rPr>
                <w:szCs w:val="24"/>
                <w:lang w:eastAsia="lt-LT"/>
              </w:rPr>
              <w:t xml:space="preserve">rojekto finansavimo ne mažiau nei 15 proc. visų tinkamų finansuoti </w:t>
            </w:r>
            <w:r>
              <w:rPr>
                <w:szCs w:val="24"/>
                <w:lang w:eastAsia="lt-LT"/>
              </w:rPr>
              <w:t>P</w:t>
            </w:r>
            <w:r w:rsidRPr="00496D5B">
              <w:rPr>
                <w:szCs w:val="24"/>
                <w:lang w:eastAsia="lt-LT"/>
              </w:rPr>
              <w:t xml:space="preserve">rojekto išlaidų, </w:t>
            </w:r>
            <w:r w:rsidR="00E20913">
              <w:rPr>
                <w:szCs w:val="24"/>
                <w:lang w:eastAsia="lt-LT"/>
              </w:rPr>
              <w:lastRenderedPageBreak/>
              <w:t>(</w:t>
            </w:r>
            <w:r w:rsidRPr="00496D5B">
              <w:rPr>
                <w:szCs w:val="24"/>
                <w:lang w:eastAsia="lt-LT"/>
              </w:rPr>
              <w:t>įskaitant ir netinkam</w:t>
            </w:r>
            <w:r w:rsidR="00E20913">
              <w:rPr>
                <w:szCs w:val="24"/>
                <w:lang w:eastAsia="lt-LT"/>
              </w:rPr>
              <w:t>a</w:t>
            </w:r>
            <w:r w:rsidRPr="00496D5B">
              <w:rPr>
                <w:szCs w:val="24"/>
                <w:lang w:eastAsia="lt-LT"/>
              </w:rPr>
              <w:t>s finansuoti išlaid</w:t>
            </w:r>
            <w:r w:rsidR="00E20913">
              <w:rPr>
                <w:szCs w:val="24"/>
                <w:lang w:eastAsia="lt-LT"/>
              </w:rPr>
              <w:t>as)</w:t>
            </w:r>
            <w:r w:rsidRPr="00496D5B">
              <w:rPr>
                <w:szCs w:val="24"/>
                <w:lang w:eastAsia="lt-LT"/>
              </w:rPr>
              <w:t xml:space="preserve"> apmokėti bei įsipareigoti tęsti veiklas 5 metus po </w:t>
            </w:r>
            <w:r>
              <w:rPr>
                <w:szCs w:val="24"/>
                <w:lang w:eastAsia="lt-LT"/>
              </w:rPr>
              <w:t>P</w:t>
            </w:r>
            <w:r w:rsidRPr="00496D5B">
              <w:rPr>
                <w:szCs w:val="24"/>
                <w:lang w:eastAsia="lt-LT"/>
              </w:rPr>
              <w:t xml:space="preserve">rojekto įgyvendinimo, užtikrinant veiklų vykdymo finansavimą. </w:t>
            </w:r>
          </w:p>
          <w:p w14:paraId="31AC8A4B" w14:textId="65EB28FF" w:rsidR="00582B02" w:rsidRPr="00FA4CC2" w:rsidRDefault="00496D5B" w:rsidP="00A427FA">
            <w:pPr>
              <w:ind w:firstLine="540"/>
              <w:jc w:val="both"/>
              <w:rPr>
                <w:szCs w:val="24"/>
                <w:lang w:eastAsia="lt-LT"/>
              </w:rPr>
            </w:pPr>
            <w:r w:rsidRPr="00496D5B">
              <w:rPr>
                <w:szCs w:val="24"/>
                <w:lang w:eastAsia="lt-LT"/>
              </w:rPr>
              <w:tab/>
            </w:r>
          </w:p>
        </w:tc>
      </w:tr>
      <w:tr w:rsidR="00DD1F44" w14:paraId="40EDA627" w14:textId="77777777" w:rsidTr="00DD1F44">
        <w:tc>
          <w:tcPr>
            <w:tcW w:w="9854" w:type="dxa"/>
          </w:tcPr>
          <w:p w14:paraId="771377F3" w14:textId="77777777" w:rsidR="00DD1F44" w:rsidRDefault="00DD1F44" w:rsidP="00A00362">
            <w:pPr>
              <w:ind w:firstLine="58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5963E02A" w14:textId="77777777" w:rsidR="00B11AC2" w:rsidRDefault="00496D5B" w:rsidP="00310DC9">
            <w:pPr>
              <w:tabs>
                <w:tab w:val="left" w:pos="0"/>
                <w:tab w:val="left" w:pos="540"/>
              </w:tabs>
              <w:ind w:firstLine="540"/>
              <w:jc w:val="both"/>
              <w:rPr>
                <w:szCs w:val="24"/>
                <w:lang w:eastAsia="lt-LT"/>
              </w:rPr>
            </w:pPr>
            <w:r w:rsidRPr="00496D5B">
              <w:rPr>
                <w:szCs w:val="24"/>
                <w:lang w:eastAsia="lt-LT"/>
              </w:rPr>
              <w:t>Projektu siekiama išplėsti galimybes apsirūpinti būstu asmenims ir šeimoms, turintiems teisę į socialinio būsto nuomą, įgyvendinti jų teisę į tinkamas gyvenimo sąlygas ir tuo būdu didinti nepalankias sąlygas turinčių asmenų integraciją.</w:t>
            </w:r>
          </w:p>
          <w:p w14:paraId="780C1030" w14:textId="54ECB8BF" w:rsidR="00496D5B" w:rsidRPr="00FA4CC2" w:rsidRDefault="00496D5B" w:rsidP="00310DC9">
            <w:pPr>
              <w:tabs>
                <w:tab w:val="left" w:pos="0"/>
                <w:tab w:val="left" w:pos="540"/>
              </w:tabs>
              <w:ind w:firstLine="540"/>
              <w:jc w:val="both"/>
              <w:rPr>
                <w:szCs w:val="24"/>
                <w:lang w:eastAsia="lt-LT"/>
              </w:rPr>
            </w:pPr>
          </w:p>
        </w:tc>
      </w:tr>
      <w:tr w:rsidR="00DD1F44" w14:paraId="1BA3C0D0" w14:textId="77777777" w:rsidTr="00DD1F44">
        <w:tc>
          <w:tcPr>
            <w:tcW w:w="9854" w:type="dxa"/>
          </w:tcPr>
          <w:p w14:paraId="707A372E" w14:textId="77777777" w:rsidR="00DD1F44" w:rsidRDefault="00DD1F44" w:rsidP="00A00362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42A42434" w14:textId="77777777" w:rsidR="008A5072" w:rsidRDefault="008A5072" w:rsidP="00496D5B">
            <w:pPr>
              <w:ind w:firstLine="589"/>
              <w:jc w:val="both"/>
              <w:rPr>
                <w:iCs/>
              </w:rPr>
            </w:pPr>
            <w:r w:rsidRPr="008A5072">
              <w:rPr>
                <w:iCs/>
              </w:rPr>
              <w:t>Neigiamų pasekmių nenumatoma.</w:t>
            </w:r>
          </w:p>
          <w:p w14:paraId="74289F7C" w14:textId="15F2BE2B" w:rsidR="008A5072" w:rsidRDefault="008A5072" w:rsidP="008A5072">
            <w:pPr>
              <w:ind w:firstLine="589"/>
              <w:jc w:val="both"/>
            </w:pPr>
          </w:p>
        </w:tc>
      </w:tr>
      <w:tr w:rsidR="00DD1F44" w14:paraId="4B80383A" w14:textId="77777777" w:rsidTr="00DD1F44">
        <w:tc>
          <w:tcPr>
            <w:tcW w:w="9854" w:type="dxa"/>
          </w:tcPr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22541C6F" w14:textId="0FD39596" w:rsidR="00E55662" w:rsidRDefault="00FA4CC2" w:rsidP="00A04F87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</w:t>
            </w:r>
          </w:p>
          <w:p w14:paraId="10F9DA85" w14:textId="27542630" w:rsidR="00B70A7B" w:rsidRDefault="00B70A7B" w:rsidP="00A04F87">
            <w:pPr>
              <w:jc w:val="both"/>
            </w:pPr>
          </w:p>
        </w:tc>
      </w:tr>
      <w:tr w:rsidR="00DD1F44" w14:paraId="49E41498" w14:textId="77777777" w:rsidTr="00DD1F44">
        <w:tc>
          <w:tcPr>
            <w:tcW w:w="9854" w:type="dxa"/>
          </w:tcPr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6160A222" w14:textId="5338DB7A" w:rsidR="00B70A7B" w:rsidRDefault="00FA4CC2" w:rsidP="00310DC9">
            <w:pPr>
              <w:ind w:firstLine="596"/>
              <w:jc w:val="both"/>
              <w:rPr>
                <w:szCs w:val="24"/>
                <w:lang w:eastAsia="lt-LT"/>
              </w:rPr>
            </w:pPr>
            <w:r w:rsidRPr="00FA4CC2">
              <w:rPr>
                <w:szCs w:val="24"/>
                <w:lang w:eastAsia="lt-LT"/>
              </w:rPr>
              <w:t>Antikorupcinis vertinimas nereikalingas</w:t>
            </w:r>
            <w:r w:rsidR="00B70A7B">
              <w:rPr>
                <w:szCs w:val="24"/>
                <w:lang w:eastAsia="lt-LT"/>
              </w:rPr>
              <w:t>.</w:t>
            </w:r>
          </w:p>
          <w:p w14:paraId="4DF6DD31" w14:textId="0BA0E320" w:rsidR="00E55662" w:rsidRDefault="00E55662" w:rsidP="00310DC9">
            <w:pPr>
              <w:ind w:firstLine="596"/>
              <w:jc w:val="both"/>
            </w:pPr>
          </w:p>
        </w:tc>
      </w:tr>
      <w:tr w:rsidR="00DD1F44" w14:paraId="76760332" w14:textId="77777777" w:rsidTr="00DD1F44">
        <w:tc>
          <w:tcPr>
            <w:tcW w:w="9854" w:type="dxa"/>
          </w:tcPr>
          <w:p w14:paraId="6403879A" w14:textId="77777777" w:rsidR="00DD1F44" w:rsidRDefault="00DD1F44" w:rsidP="00A00362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403289AE" w14:textId="65196B1D" w:rsidR="00A427FA" w:rsidRDefault="00A427FA" w:rsidP="00BA74C7">
            <w:pPr>
              <w:ind w:firstLine="454"/>
              <w:jc w:val="both"/>
              <w:rPr>
                <w:iCs/>
              </w:rPr>
            </w:pPr>
            <w:r>
              <w:rPr>
                <w:iCs/>
                <w:szCs w:val="24"/>
              </w:rPr>
              <w:t>B</w:t>
            </w:r>
            <w:r w:rsidRPr="00A427FA">
              <w:rPr>
                <w:iCs/>
                <w:szCs w:val="24"/>
              </w:rPr>
              <w:t xml:space="preserve">endra projekto preliminari vertė – 1 </w:t>
            </w:r>
            <w:r>
              <w:rPr>
                <w:iCs/>
                <w:szCs w:val="24"/>
              </w:rPr>
              <w:t>764 706</w:t>
            </w:r>
            <w:r w:rsidRPr="00A427FA">
              <w:rPr>
                <w:iCs/>
                <w:szCs w:val="24"/>
              </w:rPr>
              <w:t xml:space="preserve"> Eur., iš jų ES  lėšos – 1 </w:t>
            </w:r>
            <w:r>
              <w:rPr>
                <w:iCs/>
                <w:szCs w:val="24"/>
              </w:rPr>
              <w:t>500 000,0</w:t>
            </w:r>
            <w:r w:rsidRPr="00A427FA">
              <w:rPr>
                <w:iCs/>
                <w:szCs w:val="24"/>
              </w:rPr>
              <w:t xml:space="preserve"> Eur, </w:t>
            </w:r>
            <w:r>
              <w:rPr>
                <w:iCs/>
                <w:szCs w:val="24"/>
              </w:rPr>
              <w:t>savivaldybės biudžeto lėšos</w:t>
            </w:r>
            <w:r w:rsidRPr="00A427FA">
              <w:rPr>
                <w:iCs/>
                <w:szCs w:val="24"/>
              </w:rPr>
              <w:t xml:space="preserve"> – 2</w:t>
            </w:r>
            <w:r>
              <w:rPr>
                <w:iCs/>
                <w:szCs w:val="24"/>
              </w:rPr>
              <w:t>64 706,0</w:t>
            </w:r>
            <w:r w:rsidRPr="00A427FA">
              <w:rPr>
                <w:iCs/>
                <w:szCs w:val="24"/>
              </w:rPr>
              <w:t xml:space="preserve"> Eur.</w:t>
            </w:r>
          </w:p>
          <w:p w14:paraId="79DF68D8" w14:textId="77777777" w:rsidR="00B70A7B" w:rsidRDefault="00A427FA" w:rsidP="00BA74C7">
            <w:pPr>
              <w:ind w:firstLine="454"/>
              <w:jc w:val="both"/>
              <w:rPr>
                <w:iCs/>
              </w:rPr>
            </w:pPr>
            <w:r w:rsidRPr="00A427FA">
              <w:rPr>
                <w:iCs/>
              </w:rPr>
              <w:t>Projekto įgyvendinimo planas turi būti pateiktas iki 2024 m. kovo 29 d. 17 val. Planuojama Projekto įgyvendinimo pradžia 2024 m. II ketvirtis. Planuojama Projekto įgyvendinimo pabaiga  2027 m. IV ketvirtis.</w:t>
            </w:r>
            <w:r w:rsidR="00367CB8" w:rsidRPr="00367CB8">
              <w:rPr>
                <w:iCs/>
              </w:rPr>
              <w:t xml:space="preserve"> </w:t>
            </w:r>
            <w:r w:rsidR="00BA74C7">
              <w:rPr>
                <w:iCs/>
              </w:rPr>
              <w:t>Projektų</w:t>
            </w:r>
            <w:r w:rsidR="00367CB8" w:rsidRPr="00367CB8">
              <w:rPr>
                <w:iCs/>
              </w:rPr>
              <w:t xml:space="preserve"> atrankos būdas – </w:t>
            </w:r>
            <w:r w:rsidR="00BA74C7">
              <w:rPr>
                <w:iCs/>
              </w:rPr>
              <w:t xml:space="preserve">valstybinis </w:t>
            </w:r>
            <w:r w:rsidR="00367CB8" w:rsidRPr="00367CB8">
              <w:rPr>
                <w:iCs/>
              </w:rPr>
              <w:t>planavimas.</w:t>
            </w:r>
          </w:p>
          <w:p w14:paraId="286596B8" w14:textId="48BAC55E" w:rsidR="00A427FA" w:rsidRPr="00582B02" w:rsidRDefault="00A427FA" w:rsidP="00BA74C7">
            <w:pPr>
              <w:ind w:firstLine="454"/>
              <w:jc w:val="both"/>
              <w:rPr>
                <w:iCs/>
              </w:rPr>
            </w:pPr>
          </w:p>
        </w:tc>
      </w:tr>
      <w:tr w:rsidR="00DD1F44" w14:paraId="1FB78749" w14:textId="77777777" w:rsidTr="00DD1F44">
        <w:tc>
          <w:tcPr>
            <w:tcW w:w="9854" w:type="dxa"/>
          </w:tcPr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7AB231B0" w14:textId="77777777" w:rsidR="00DD1F44" w:rsidRDefault="00FA4CC2" w:rsidP="00B70A7B">
            <w:pPr>
              <w:ind w:firstLine="596"/>
              <w:jc w:val="both"/>
              <w:rPr>
                <w:szCs w:val="24"/>
              </w:rPr>
            </w:pPr>
            <w:r w:rsidRPr="00FA4CC2">
              <w:rPr>
                <w:szCs w:val="24"/>
              </w:rPr>
              <w:t>Planavimo ir plėtros skyriaus viešojo administravimo institucijos specialistė Aušra Stakvilevičienė</w:t>
            </w:r>
          </w:p>
          <w:p w14:paraId="5ECDD0B6" w14:textId="22802EE3" w:rsidR="00E55662" w:rsidRDefault="00E55662" w:rsidP="00A04F87">
            <w:pPr>
              <w:jc w:val="both"/>
            </w:pPr>
          </w:p>
        </w:tc>
      </w:tr>
      <w:tr w:rsidR="00DD1F44" w14:paraId="35C359EF" w14:textId="77777777" w:rsidTr="00DD1F44">
        <w:tc>
          <w:tcPr>
            <w:tcW w:w="9854" w:type="dxa"/>
          </w:tcPr>
          <w:p w14:paraId="5D3AD9D3" w14:textId="77777777" w:rsidR="00DD1F44" w:rsidRDefault="00DD1F44" w:rsidP="00A00362">
            <w:pPr>
              <w:ind w:firstLine="540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212928F2" w14:textId="2E3E63A1" w:rsidR="003048E2" w:rsidRDefault="008A5072" w:rsidP="00A04F87">
            <w:pPr>
              <w:ind w:firstLine="5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Socialinis būstas, projektas</w:t>
            </w:r>
            <w:r w:rsidR="003048E2">
              <w:rPr>
                <w:sz w:val="23"/>
                <w:szCs w:val="23"/>
              </w:rPr>
              <w:t>.</w:t>
            </w:r>
          </w:p>
          <w:p w14:paraId="225DEDFB" w14:textId="2A937822" w:rsidR="00E55662" w:rsidRDefault="00E55662" w:rsidP="00A04F87">
            <w:pPr>
              <w:ind w:firstLine="540"/>
            </w:pPr>
          </w:p>
        </w:tc>
      </w:tr>
      <w:tr w:rsidR="00DD1F44" w14:paraId="1EE8E368" w14:textId="77777777" w:rsidTr="00DD1F44">
        <w:tc>
          <w:tcPr>
            <w:tcW w:w="9854" w:type="dxa"/>
          </w:tcPr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19D4AFDE" w14:textId="0F6B9F0F" w:rsidR="00E55662" w:rsidRDefault="003048E2" w:rsidP="00A04F87">
            <w:pPr>
              <w:jc w:val="both"/>
              <w:rPr>
                <w:szCs w:val="24"/>
              </w:rPr>
            </w:pPr>
            <w:r w:rsidRPr="003048E2">
              <w:rPr>
                <w:szCs w:val="24"/>
              </w:rPr>
              <w:t>-------------</w:t>
            </w:r>
          </w:p>
          <w:p w14:paraId="6768CF77" w14:textId="585631F8" w:rsidR="00BB68B8" w:rsidRDefault="00BB68B8" w:rsidP="00A04F87">
            <w:pPr>
              <w:jc w:val="both"/>
              <w:rPr>
                <w:sz w:val="22"/>
                <w:szCs w:val="22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D56260D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1C9B1AD0" w14:textId="77777777" w:rsidR="003048E2" w:rsidRPr="006812AA" w:rsidRDefault="003048E2" w:rsidP="00310DC9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6812AA">
        <w:rPr>
          <w:bCs/>
          <w:sz w:val="24"/>
          <w:szCs w:val="24"/>
        </w:rPr>
        <w:t>Planavimo ir plėtros skyriaus</w:t>
      </w:r>
    </w:p>
    <w:p w14:paraId="4CFE9A7C" w14:textId="452BBD06" w:rsidR="00B55D2E" w:rsidRPr="00B55D2E" w:rsidRDefault="003048E2" w:rsidP="00310DC9">
      <w:pPr>
        <w:pStyle w:val="Pagrindiniotekstotrauka3"/>
        <w:spacing w:after="0"/>
        <w:ind w:hanging="283"/>
        <w:jc w:val="both"/>
        <w:rPr>
          <w:bCs/>
          <w:sz w:val="24"/>
          <w:szCs w:val="24"/>
        </w:rPr>
      </w:pPr>
      <w:r w:rsidRPr="006812AA">
        <w:rPr>
          <w:bCs/>
          <w:sz w:val="24"/>
          <w:szCs w:val="24"/>
        </w:rPr>
        <w:t>viešojo administravimo institucijos specialistė</w:t>
      </w:r>
      <w:r w:rsidR="00DD1F44" w:rsidRPr="006812AA">
        <w:rPr>
          <w:bCs/>
          <w:sz w:val="24"/>
          <w:szCs w:val="24"/>
        </w:rPr>
        <w:tab/>
      </w:r>
      <w:r w:rsidR="00B55D2E" w:rsidRPr="006812AA">
        <w:rPr>
          <w:bCs/>
          <w:sz w:val="24"/>
          <w:szCs w:val="24"/>
        </w:rPr>
        <w:t xml:space="preserve">                       </w:t>
      </w:r>
      <w:r w:rsidRPr="006812AA">
        <w:rPr>
          <w:bCs/>
          <w:sz w:val="24"/>
          <w:szCs w:val="24"/>
        </w:rPr>
        <w:tab/>
      </w:r>
      <w:r w:rsidRPr="006812AA">
        <w:rPr>
          <w:bCs/>
          <w:sz w:val="24"/>
          <w:szCs w:val="24"/>
        </w:rPr>
        <w:tab/>
        <w:t>Aušra Stakvilevičienė</w:t>
      </w:r>
      <w:r w:rsidR="00B55D2E" w:rsidRPr="003048E2">
        <w:rPr>
          <w:bCs/>
          <w:sz w:val="24"/>
          <w:szCs w:val="24"/>
          <w:u w:val="single"/>
        </w:rPr>
        <w:t xml:space="preserve"> </w:t>
      </w:r>
      <w:r w:rsidR="00B55D2E">
        <w:rPr>
          <w:bCs/>
          <w:sz w:val="24"/>
          <w:szCs w:val="24"/>
          <w:u w:val="single"/>
        </w:rPr>
        <w:t xml:space="preserve">  </w:t>
      </w:r>
      <w:r w:rsidR="00B55D2E" w:rsidRPr="00B55D2E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B55D2E">
        <w:rPr>
          <w:bCs/>
          <w:sz w:val="24"/>
          <w:szCs w:val="24"/>
        </w:rPr>
        <w:t xml:space="preserve">                                   </w:t>
      </w:r>
    </w:p>
    <w:p w14:paraId="740F6947" w14:textId="52AE9A71" w:rsidR="005D1983" w:rsidRDefault="005D1983" w:rsidP="00AE634D">
      <w:pPr>
        <w:pStyle w:val="Pagrindiniotekstotrauka3"/>
        <w:spacing w:after="0"/>
        <w:ind w:firstLine="437"/>
      </w:pPr>
    </w:p>
    <w:sectPr w:rsidR="005D1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EF4CC" w14:textId="77777777" w:rsidR="00F80BFC" w:rsidRDefault="00F80BFC">
      <w:r>
        <w:separator/>
      </w:r>
    </w:p>
  </w:endnote>
  <w:endnote w:type="continuationSeparator" w:id="0">
    <w:p w14:paraId="020B7C33" w14:textId="77777777" w:rsidR="00F80BFC" w:rsidRDefault="00F8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D71D" w14:textId="77777777" w:rsidR="00F80BFC" w:rsidRDefault="00F80BFC">
      <w:r>
        <w:separator/>
      </w:r>
    </w:p>
  </w:footnote>
  <w:footnote w:type="continuationSeparator" w:id="0">
    <w:p w14:paraId="07BA751C" w14:textId="77777777" w:rsidR="00F80BFC" w:rsidRDefault="00F8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5DC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6D52"/>
    <w:multiLevelType w:val="multilevel"/>
    <w:tmpl w:val="E8049744"/>
    <w:lvl w:ilvl="0">
      <w:start w:val="1"/>
      <w:numFmt w:val="decimal"/>
      <w:lvlText w:val="%1."/>
      <w:lvlJc w:val="left"/>
      <w:pPr>
        <w:ind w:left="9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5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6" w:hanging="1800"/>
      </w:pPr>
      <w:rPr>
        <w:rFonts w:hint="default"/>
      </w:rPr>
    </w:lvl>
  </w:abstractNum>
  <w:abstractNum w:abstractNumId="1" w15:restartNumberingAfterBreak="0">
    <w:nsid w:val="472D5359"/>
    <w:multiLevelType w:val="hybridMultilevel"/>
    <w:tmpl w:val="F2D6B4AC"/>
    <w:lvl w:ilvl="0" w:tplc="47C257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4D6270A8"/>
    <w:multiLevelType w:val="hybridMultilevel"/>
    <w:tmpl w:val="11D2F1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7F05"/>
    <w:multiLevelType w:val="hybridMultilevel"/>
    <w:tmpl w:val="34B67908"/>
    <w:lvl w:ilvl="0" w:tplc="960AA8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48019964">
    <w:abstractNumId w:val="0"/>
  </w:num>
  <w:num w:numId="2" w16cid:durableId="1572426095">
    <w:abstractNumId w:val="3"/>
  </w:num>
  <w:num w:numId="3" w16cid:durableId="1683782710">
    <w:abstractNumId w:val="2"/>
  </w:num>
  <w:num w:numId="4" w16cid:durableId="30319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097"/>
    <w:rsid w:val="00030478"/>
    <w:rsid w:val="00035141"/>
    <w:rsid w:val="000734BA"/>
    <w:rsid w:val="000B6238"/>
    <w:rsid w:val="000C5057"/>
    <w:rsid w:val="00116812"/>
    <w:rsid w:val="00152AEE"/>
    <w:rsid w:val="001C253E"/>
    <w:rsid w:val="001E2D1D"/>
    <w:rsid w:val="00211530"/>
    <w:rsid w:val="00214604"/>
    <w:rsid w:val="0023330F"/>
    <w:rsid w:val="00270B07"/>
    <w:rsid w:val="00274633"/>
    <w:rsid w:val="002943A3"/>
    <w:rsid w:val="00296440"/>
    <w:rsid w:val="002D4F43"/>
    <w:rsid w:val="002F42E2"/>
    <w:rsid w:val="003048E2"/>
    <w:rsid w:val="003079BB"/>
    <w:rsid w:val="00310DC9"/>
    <w:rsid w:val="00322C9A"/>
    <w:rsid w:val="00326147"/>
    <w:rsid w:val="00330F8B"/>
    <w:rsid w:val="00341D4D"/>
    <w:rsid w:val="00367CB8"/>
    <w:rsid w:val="003751CD"/>
    <w:rsid w:val="003B62B7"/>
    <w:rsid w:val="003C783E"/>
    <w:rsid w:val="003E44A1"/>
    <w:rsid w:val="00414014"/>
    <w:rsid w:val="0042230F"/>
    <w:rsid w:val="00423FB4"/>
    <w:rsid w:val="0044309A"/>
    <w:rsid w:val="00464375"/>
    <w:rsid w:val="0047544E"/>
    <w:rsid w:val="0049399B"/>
    <w:rsid w:val="00496D5B"/>
    <w:rsid w:val="004A3D6F"/>
    <w:rsid w:val="004F6D44"/>
    <w:rsid w:val="00533B75"/>
    <w:rsid w:val="0054068A"/>
    <w:rsid w:val="00566739"/>
    <w:rsid w:val="00582B02"/>
    <w:rsid w:val="005D1983"/>
    <w:rsid w:val="006060C6"/>
    <w:rsid w:val="006100CA"/>
    <w:rsid w:val="006212F4"/>
    <w:rsid w:val="006645EE"/>
    <w:rsid w:val="006812AA"/>
    <w:rsid w:val="006A70E5"/>
    <w:rsid w:val="006E14BD"/>
    <w:rsid w:val="00716F4C"/>
    <w:rsid w:val="00725A2C"/>
    <w:rsid w:val="00731EFD"/>
    <w:rsid w:val="00750139"/>
    <w:rsid w:val="00766A65"/>
    <w:rsid w:val="00774554"/>
    <w:rsid w:val="0078117C"/>
    <w:rsid w:val="00797721"/>
    <w:rsid w:val="007D156C"/>
    <w:rsid w:val="0080318D"/>
    <w:rsid w:val="00810F4F"/>
    <w:rsid w:val="00815D30"/>
    <w:rsid w:val="0082650E"/>
    <w:rsid w:val="008451A7"/>
    <w:rsid w:val="00870339"/>
    <w:rsid w:val="008A1957"/>
    <w:rsid w:val="008A5072"/>
    <w:rsid w:val="008C7949"/>
    <w:rsid w:val="008D07F1"/>
    <w:rsid w:val="008D12F8"/>
    <w:rsid w:val="008E22C6"/>
    <w:rsid w:val="008F2B37"/>
    <w:rsid w:val="008F3337"/>
    <w:rsid w:val="00923661"/>
    <w:rsid w:val="00963944"/>
    <w:rsid w:val="00974D16"/>
    <w:rsid w:val="0098459F"/>
    <w:rsid w:val="009B4FA3"/>
    <w:rsid w:val="00A00362"/>
    <w:rsid w:val="00A04F87"/>
    <w:rsid w:val="00A16F7A"/>
    <w:rsid w:val="00A27A1D"/>
    <w:rsid w:val="00A427FA"/>
    <w:rsid w:val="00A439BF"/>
    <w:rsid w:val="00A7137E"/>
    <w:rsid w:val="00A75DC3"/>
    <w:rsid w:val="00A771D6"/>
    <w:rsid w:val="00A82582"/>
    <w:rsid w:val="00AA4FFD"/>
    <w:rsid w:val="00AE38E9"/>
    <w:rsid w:val="00AE634D"/>
    <w:rsid w:val="00B02645"/>
    <w:rsid w:val="00B03E5C"/>
    <w:rsid w:val="00B11AC2"/>
    <w:rsid w:val="00B2130F"/>
    <w:rsid w:val="00B55D2E"/>
    <w:rsid w:val="00B70A7B"/>
    <w:rsid w:val="00BA74C7"/>
    <w:rsid w:val="00BB68B8"/>
    <w:rsid w:val="00BC57A6"/>
    <w:rsid w:val="00C27561"/>
    <w:rsid w:val="00C51764"/>
    <w:rsid w:val="00C62447"/>
    <w:rsid w:val="00C65E12"/>
    <w:rsid w:val="00C745A3"/>
    <w:rsid w:val="00C747BE"/>
    <w:rsid w:val="00C81389"/>
    <w:rsid w:val="00C87A55"/>
    <w:rsid w:val="00CB1A60"/>
    <w:rsid w:val="00CB5CF9"/>
    <w:rsid w:val="00CB7FF1"/>
    <w:rsid w:val="00CC0A44"/>
    <w:rsid w:val="00D3443B"/>
    <w:rsid w:val="00D56540"/>
    <w:rsid w:val="00DA1210"/>
    <w:rsid w:val="00DA2660"/>
    <w:rsid w:val="00DD1F44"/>
    <w:rsid w:val="00E20913"/>
    <w:rsid w:val="00E35AC6"/>
    <w:rsid w:val="00E46BF7"/>
    <w:rsid w:val="00E517EC"/>
    <w:rsid w:val="00E55662"/>
    <w:rsid w:val="00E93827"/>
    <w:rsid w:val="00EB1AF7"/>
    <w:rsid w:val="00ED4EE4"/>
    <w:rsid w:val="00EE61B5"/>
    <w:rsid w:val="00EF4F54"/>
    <w:rsid w:val="00F123E3"/>
    <w:rsid w:val="00F2137A"/>
    <w:rsid w:val="00F279F2"/>
    <w:rsid w:val="00F80BFC"/>
    <w:rsid w:val="00F82DDF"/>
    <w:rsid w:val="00F85587"/>
    <w:rsid w:val="00FA4CC2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4F8E6394-8E8C-4FA7-8B69-8F40DCC3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character" w:styleId="Komentaronuoroda">
    <w:name w:val="annotation reference"/>
    <w:basedOn w:val="Numatytasispastraiposriftas"/>
    <w:rsid w:val="00CB1A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B1A6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B1A6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B1A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B1A6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152A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52AEE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815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EB54C-E11E-4A5F-B744-21B9179B59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1125-000C-4244-A9C7-12A407FD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Asta Jagelavičienė</cp:lastModifiedBy>
  <cp:revision>2</cp:revision>
  <dcterms:created xsi:type="dcterms:W3CDTF">2022-05-05T13:08:00Z</dcterms:created>
  <dcterms:modified xsi:type="dcterms:W3CDTF">2024-02-13T08:34:00Z</dcterms:modified>
</cp:coreProperties>
</file>