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78EB5FC" w:rsidR="00DD1F44" w:rsidRDefault="00DD1F44" w:rsidP="00DD1F44">
      <w:pPr>
        <w:jc w:val="center"/>
        <w:rPr>
          <w:b/>
          <w:bCs/>
          <w:caps/>
        </w:rPr>
      </w:pPr>
      <w:r>
        <w:rPr>
          <w:b/>
          <w:bCs/>
          <w:caps/>
        </w:rPr>
        <w:t>Dėl TARYBOS sprendimo „</w:t>
      </w:r>
      <w:r w:rsidR="00E80DDD">
        <w:rPr>
          <w:b/>
          <w:bCs/>
          <w:caps/>
        </w:rPr>
        <w:t>Dėl LEIDIMO IMTI ILGALAIKĘ PASKOLĄ</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1B3FC7B" w:rsidR="0007798E" w:rsidRDefault="0007798E" w:rsidP="0007798E">
      <w:pPr>
        <w:tabs>
          <w:tab w:val="left" w:pos="567"/>
        </w:tabs>
        <w:jc w:val="center"/>
      </w:pPr>
      <w:r>
        <w:t>202</w:t>
      </w:r>
      <w:r w:rsidR="00DA6B2E">
        <w:t>4</w:t>
      </w:r>
      <w:r>
        <w:t xml:space="preserve"> m. </w:t>
      </w:r>
      <w:r w:rsidR="00DA6B2E">
        <w:t>balandž</w:t>
      </w:r>
      <w:r w:rsidR="00E80DDD">
        <w:t>i</w:t>
      </w:r>
      <w:r w:rsidR="00E62A1C">
        <w:t>o</w:t>
      </w:r>
      <w:r w:rsidR="00E80DDD">
        <w:t xml:space="preserve"> </w:t>
      </w:r>
      <w:r w:rsidR="00D57B83">
        <w:t>5</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2C012B26" w:rsidR="00DD1F44" w:rsidRDefault="00E80DDD" w:rsidP="00DD1F44">
            <w:pPr>
              <w:ind w:firstLine="540"/>
              <w:jc w:val="both"/>
            </w:pPr>
            <w:r>
              <w:t xml:space="preserve">Įstatymų nustatyta tvarka gauti paskolą </w:t>
            </w:r>
            <w:r w:rsidR="00DA6B2E">
              <w:rPr>
                <w:color w:val="000000"/>
              </w:rPr>
              <w:t>investiciniams projektams finansuoti.</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29E6C0BE" w:rsidR="00DD1F44" w:rsidRDefault="00497D98" w:rsidP="00DD1F44">
            <w:pPr>
              <w:ind w:firstLine="540"/>
              <w:jc w:val="both"/>
              <w:rPr>
                <w:noProof/>
              </w:rPr>
            </w:pPr>
            <w:r>
              <w:rPr>
                <w:color w:val="000000"/>
              </w:rPr>
              <w:t>Savivaldybė gali skolintis vadovaudam</w:t>
            </w:r>
            <w:r w:rsidR="009B4A24">
              <w:rPr>
                <w:color w:val="000000"/>
              </w:rPr>
              <w:t>a</w:t>
            </w:r>
            <w:r>
              <w:rPr>
                <w:color w:val="000000"/>
              </w:rPr>
              <w:t>si Lietuvos Respublikos biudžeto sandaros įstatymo 17 straipsnio 1 dalies 1 punktu. Lietuvos Respublikos fiskalinės sutarties įgyvendinimo konstitucinio įstatymu nustatyta, kad savivaldybės skola pagal įsipareigojamuosius skolos dokumentus, įskaitant paskolos, finansinės nuomos (lizingo) sutartis, bet neapsiribojant jomis, negali viršyti 60 procentų valstybės biudžeto ir savivaldybių biudžetų finansinių rodiklių patvirtinimo įstatyme nurodytų tiems metams prognozuojamų savivaldybės biudžeto pajamų iš gyventojų pajamų mokesčio ir paskutinių pasibaigusių metų savivaldybės biudžeto gautų pajamų, išskyrus iš gyventojų pajamų mokesčio gautas pajamas, valstybės biudžeto dotacijas ir Europos Sąjungos ir kitą tarptautinę finansinę paramą, sumos. Savivaldybių skolinimosi tvarką nustato Lietuvos Respublikos Vyriausybės 2004 m. kovo 26 d. nutarimu Nr. 345 patvirtintos Savivaldybių skolinimosi taisyklės. Savivaldybės taryba,</w:t>
            </w:r>
            <w:r>
              <w:rPr>
                <w:b/>
                <w:bCs/>
                <w:color w:val="000000"/>
              </w:rPr>
              <w:t> </w:t>
            </w:r>
            <w:r>
              <w:rPr>
                <w:color w:val="000000"/>
              </w:rPr>
              <w:t>vadovaudamasi Vietos savivaldos įstatymo 15 straipsnio 2 dalies 21 punktu, priima sprendimus dėl paskolų ėmimo.</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780C1030" w14:textId="2B74A592" w:rsidR="00DD1F44" w:rsidRDefault="00281D25" w:rsidP="00E62A1C">
            <w:pPr>
              <w:ind w:firstLine="540"/>
              <w:jc w:val="both"/>
            </w:pPr>
            <w:r>
              <w:t>Savivaldybė galės prisidėti lėšomis, vykdant investicinius projektus.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425D4F22" w:rsidR="00DD1F44" w:rsidRPr="0007798E" w:rsidRDefault="0007798E" w:rsidP="00DD1F44">
            <w:pPr>
              <w:ind w:firstLine="540"/>
              <w:jc w:val="both"/>
              <w:rPr>
                <w:szCs w:val="24"/>
              </w:rPr>
            </w:pPr>
            <w:r w:rsidRPr="00727350">
              <w:rPr>
                <w:rStyle w:val="Hipersaitas"/>
                <w:rFonts w:ascii="Times New Roman" w:hAnsi="Times New Roman"/>
                <w:sz w:val="24"/>
                <w:szCs w:val="24"/>
              </w:rPr>
              <w:t>Savivaldybės kontrolieriaus išvada pridedama.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1B661B24" w:rsidR="00DD1F44" w:rsidRDefault="00281D25" w:rsidP="00DD1F44">
            <w:pPr>
              <w:ind w:firstLine="540"/>
            </w:pPr>
            <w:r>
              <w:t>Ilgalaikė paskola</w:t>
            </w:r>
            <w:r w:rsidR="0007798E">
              <w:t>.</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7FD31D99" w14:textId="77777777" w:rsidR="00900877" w:rsidRDefault="00900877" w:rsidP="00900877">
            <w:pPr>
              <w:tabs>
                <w:tab w:val="left" w:pos="0"/>
              </w:tabs>
              <w:ind w:right="27" w:firstLine="536"/>
              <w:jc w:val="both"/>
              <w:rPr>
                <w:szCs w:val="24"/>
              </w:rPr>
            </w:pPr>
            <w:r w:rsidRPr="00C4646D">
              <w:rPr>
                <w:color w:val="000000"/>
              </w:rPr>
              <w:t>Lietuvos Respublik</w:t>
            </w:r>
            <w:r>
              <w:rPr>
                <w:color w:val="000000"/>
              </w:rPr>
              <w:t>os vietos savivaldos įstatymo 15 straipsnio 2 dalies 21</w:t>
            </w:r>
            <w:r w:rsidRPr="00C4646D">
              <w:rPr>
                <w:color w:val="000000"/>
              </w:rPr>
              <w:t xml:space="preserve"> punkte</w:t>
            </w:r>
            <w:r w:rsidRPr="00EA47D2">
              <w:t xml:space="preserve"> reglamentuojama, </w:t>
            </w:r>
            <w:r w:rsidRPr="002A7A25">
              <w:rPr>
                <w:szCs w:val="24"/>
              </w:rPr>
              <w:t xml:space="preserve">kad </w:t>
            </w:r>
            <w:r w:rsidRPr="002A7A25">
              <w:rPr>
                <w:color w:val="000000"/>
                <w:szCs w:val="24"/>
              </w:rPr>
              <w:t xml:space="preserve">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w:t>
            </w:r>
            <w:r w:rsidRPr="002A7A25">
              <w:rPr>
                <w:szCs w:val="24"/>
              </w:rPr>
              <w:t>yra išimtinė savivaldybės tarybos kompetencija</w:t>
            </w:r>
            <w:r w:rsidRPr="002A7A25">
              <w:rPr>
                <w:color w:val="000000"/>
                <w:szCs w:val="24"/>
              </w:rPr>
              <w:t>, laikantis Lietuvos Respublikos atitinkamų metų valstybės biudžeto ir savivaldybių biudžetų finansinių rodiklių patvirtinimo įstatyme nustatytų skolos, skolinimosi bei garantijų limitų ir gavus savivaldybės kontrolės ir audito tarnybos išvadą.</w:t>
            </w:r>
            <w:r w:rsidRPr="002A7A25">
              <w:rPr>
                <w:szCs w:val="24"/>
              </w:rPr>
              <w:t xml:space="preserve"> </w:t>
            </w:r>
          </w:p>
          <w:p w14:paraId="7A6FC530" w14:textId="62E11227" w:rsidR="00270857" w:rsidRDefault="00900877" w:rsidP="00281D25">
            <w:pPr>
              <w:tabs>
                <w:tab w:val="left" w:pos="0"/>
              </w:tabs>
              <w:ind w:firstLine="536"/>
              <w:jc w:val="both"/>
              <w:rPr>
                <w:color w:val="000000"/>
              </w:rPr>
            </w:pPr>
            <w:r>
              <w:rPr>
                <w:color w:val="000000"/>
              </w:rPr>
              <w:t xml:space="preserve">Fiskalinės sutarties įgyvendinimo konstitucinio įstatymo 6 straipsnis nustato, kad savivaldybės skola pagal įsipareigojamuosius skolos dokumentus, įskaitant paskolos, finansinės nuomos (lizingo) sutartis, bet neapsiribojant jomis, negali viršyti 60 procentų valstybės biudžeto ir savivaldybių biudžetų finansinių rodiklių patvirtinimo įstatyme nurodytų tiems metams prognozuojamų savivaldybės biudžeto pajamų iš gyventojų pajamų mokesčio ir paskutinių pasibaigusių metų savivaldybės biudžeto gautų pajamų, išskyrus iš gyventojų pajamų mokesčio gautas pajamas, valstybės biudžeto dotacijas ir Europos Sąjungos ir kitą tarptautinę finansinę paramą, sumos, t. y. Šilutės rajono savivaldybės skola negali viršyti </w:t>
            </w:r>
            <w:r w:rsidR="0062685A">
              <w:rPr>
                <w:color w:val="000000"/>
              </w:rPr>
              <w:t>27</w:t>
            </w:r>
            <w:r w:rsidR="003313E5">
              <w:rPr>
                <w:color w:val="000000"/>
              </w:rPr>
              <w:t xml:space="preserve"> </w:t>
            </w:r>
            <w:r w:rsidR="0062685A">
              <w:rPr>
                <w:color w:val="000000"/>
              </w:rPr>
              <w:t>014,7</w:t>
            </w:r>
            <w:r>
              <w:rPr>
                <w:color w:val="000000"/>
              </w:rPr>
              <w:t xml:space="preserve"> tūkst. </w:t>
            </w:r>
            <w:r w:rsidR="0062685A">
              <w:rPr>
                <w:color w:val="000000"/>
              </w:rPr>
              <w:t>eurų</w:t>
            </w:r>
            <w:r>
              <w:rPr>
                <w:color w:val="000000"/>
              </w:rPr>
              <w:t>.</w:t>
            </w:r>
          </w:p>
          <w:p w14:paraId="61FFC7FC" w14:textId="76BCAA23" w:rsidR="00281D25" w:rsidRDefault="0062685A" w:rsidP="003313E5">
            <w:pPr>
              <w:tabs>
                <w:tab w:val="left" w:pos="0"/>
              </w:tabs>
              <w:ind w:firstLine="536"/>
              <w:jc w:val="both"/>
            </w:pPr>
            <w:r>
              <w:rPr>
                <w:color w:val="000000"/>
              </w:rPr>
              <w:t xml:space="preserve">2024 m. sausio 1 d. Savivaldybės skola sudarė </w:t>
            </w:r>
            <w:r>
              <w:t>12</w:t>
            </w:r>
            <w:r w:rsidR="003313E5">
              <w:t xml:space="preserve"> </w:t>
            </w:r>
            <w:r>
              <w:t>034,4</w:t>
            </w:r>
            <w:r w:rsidRPr="00C2488E">
              <w:t xml:space="preserve"> tūkst. eurų </w:t>
            </w:r>
            <w:r>
              <w:rPr>
                <w:color w:val="000000"/>
              </w:rPr>
              <w:t>(iš jų 133,2 tūkst. eurų valstybės biudžeto paskola dėl Snoro banko veiklos apribojimo</w:t>
            </w:r>
            <w:r w:rsidR="003313E5">
              <w:rPr>
                <w:color w:val="000000"/>
              </w:rPr>
              <w:t xml:space="preserve">). </w:t>
            </w:r>
          </w:p>
          <w:p w14:paraId="08887A70" w14:textId="4A29B2DB" w:rsidR="003313E5" w:rsidRPr="003D62EF" w:rsidRDefault="003313E5" w:rsidP="003313E5">
            <w:pPr>
              <w:tabs>
                <w:tab w:val="left" w:pos="0"/>
              </w:tabs>
              <w:ind w:right="27" w:firstLine="536"/>
              <w:jc w:val="both"/>
            </w:pPr>
            <w:r>
              <w:t>Savivaldybės patvirtintame 202</w:t>
            </w:r>
            <w:r w:rsidR="001E073B">
              <w:t>4</w:t>
            </w:r>
            <w:r>
              <w:t xml:space="preserve"> metų biudžete paskoloms grąžinti numatyta skirti 1</w:t>
            </w:r>
            <w:r w:rsidR="001E073B">
              <w:t> 967,9</w:t>
            </w:r>
            <w:r>
              <w:t xml:space="preserve"> tūkst. eurų</w:t>
            </w:r>
            <w:r w:rsidR="001E073B">
              <w:t>.</w:t>
            </w:r>
            <w:r>
              <w:t xml:space="preserve"> </w:t>
            </w:r>
            <w:r>
              <w:rPr>
                <w:szCs w:val="24"/>
              </w:rPr>
              <w:t>Per 202</w:t>
            </w:r>
            <w:r w:rsidR="001E073B">
              <w:rPr>
                <w:szCs w:val="24"/>
              </w:rPr>
              <w:t>4</w:t>
            </w:r>
            <w:r w:rsidRPr="002A7A25">
              <w:rPr>
                <w:szCs w:val="24"/>
              </w:rPr>
              <w:t xml:space="preserve"> m. sausio</w:t>
            </w:r>
            <w:r>
              <w:rPr>
                <w:szCs w:val="24"/>
              </w:rPr>
              <w:t>–</w:t>
            </w:r>
            <w:r w:rsidR="001E073B">
              <w:rPr>
                <w:szCs w:val="24"/>
              </w:rPr>
              <w:t>kov</w:t>
            </w:r>
            <w:r>
              <w:rPr>
                <w:szCs w:val="24"/>
              </w:rPr>
              <w:t>o</w:t>
            </w:r>
            <w:r w:rsidRPr="002A7A25">
              <w:rPr>
                <w:szCs w:val="24"/>
              </w:rPr>
              <w:t xml:space="preserve"> mėnesį Savivaldybė </w:t>
            </w:r>
            <w:r w:rsidRPr="003D62EF">
              <w:rPr>
                <w:szCs w:val="24"/>
              </w:rPr>
              <w:t xml:space="preserve">grąžino </w:t>
            </w:r>
            <w:r w:rsidR="00C53163" w:rsidRPr="003D62EF">
              <w:rPr>
                <w:szCs w:val="24"/>
              </w:rPr>
              <w:t>479,8</w:t>
            </w:r>
            <w:r w:rsidRPr="003D62EF">
              <w:rPr>
                <w:szCs w:val="24"/>
              </w:rPr>
              <w:t xml:space="preserve"> tūkst. eurų. Negrąžintų ilgalaikių paskolų likutis 202</w:t>
            </w:r>
            <w:r w:rsidR="001E073B" w:rsidRPr="003D62EF">
              <w:rPr>
                <w:szCs w:val="24"/>
              </w:rPr>
              <w:t>4</w:t>
            </w:r>
            <w:r w:rsidRPr="003D62EF">
              <w:rPr>
                <w:szCs w:val="24"/>
              </w:rPr>
              <w:t xml:space="preserve"> m. </w:t>
            </w:r>
            <w:r w:rsidR="001E073B" w:rsidRPr="003D62EF">
              <w:rPr>
                <w:szCs w:val="24"/>
              </w:rPr>
              <w:t>balandžio</w:t>
            </w:r>
            <w:r w:rsidRPr="003D62EF">
              <w:rPr>
                <w:szCs w:val="24"/>
              </w:rPr>
              <w:t xml:space="preserve"> 1 d. – 11</w:t>
            </w:r>
            <w:r w:rsidR="00C53163" w:rsidRPr="003D62EF">
              <w:rPr>
                <w:szCs w:val="24"/>
              </w:rPr>
              <w:t> 554,6</w:t>
            </w:r>
            <w:r w:rsidRPr="003D62EF">
              <w:rPr>
                <w:szCs w:val="24"/>
              </w:rPr>
              <w:t xml:space="preserve"> tūkst. eurų. </w:t>
            </w:r>
          </w:p>
          <w:p w14:paraId="2D12F23B" w14:textId="6FC86612" w:rsidR="00C0183A" w:rsidRDefault="001E073B" w:rsidP="00C0183A">
            <w:pPr>
              <w:ind w:firstLine="720"/>
              <w:jc w:val="both"/>
              <w:rPr>
                <w:color w:val="000000"/>
                <w:szCs w:val="24"/>
                <w:lang w:eastAsia="lt-LT"/>
              </w:rPr>
            </w:pPr>
            <w:r>
              <w:t xml:space="preserve">Vadovaujantis </w:t>
            </w:r>
            <w:r>
              <w:rPr>
                <w:color w:val="000000"/>
              </w:rPr>
              <w:t xml:space="preserve">Savivaldybių skolinimosi taisyklių, patvirtintų Lietuvos Respublikos Vyriausybės 2004 m. kovo 26 d. nutarimu Nr. 345 (Lietuvos Respublikos Vyriausybės 2012 m. kovo 21 d. nutarimo Nr. 304 redakcija), </w:t>
            </w:r>
            <w:r w:rsidRPr="00E32DD8">
              <w:t>4 punktu ir remiantis Fiskalinės sutarties įgyvendinimo konstitucinio įstatymo Nr. XII-1289 4</w:t>
            </w:r>
            <w:r>
              <w:t xml:space="preserve"> straipsnio 4</w:t>
            </w:r>
            <w:r w:rsidRPr="00E32DD8">
              <w:t xml:space="preserve"> dalies nuostatomis, </w:t>
            </w:r>
            <w:r>
              <w:t>savivaldybės</w:t>
            </w:r>
            <w:r>
              <w:rPr>
                <w:color w:val="000000"/>
              </w:rPr>
              <w:t xml:space="preserve"> biudžetas turi būti planuojamas, tvirtinamas, keičiamas ir vykdomas taip, kad biudžeto asignavimai neviršytų jo pajamų, </w:t>
            </w:r>
            <w:r w:rsidRPr="00747CB6">
              <w:rPr>
                <w:color w:val="000000"/>
                <w:szCs w:val="24"/>
                <w:lang w:eastAsia="lt-LT"/>
              </w:rPr>
              <w:t>išskyrus metus, kuriais pagal Vyriausybės arba jos įgaliotos institucijos viešai paskelbtą ekonominės raidos scenarijų, dėl kurio tvirtinimo kontrolės institucija paskelbė savo išvadą, numatomas neigiamas produkcijos atotrūkis nuo potencialo. Pastaruoju atveju asignavimai negali viršyti pajamų daugiau kaip 1,5 procento.</w:t>
            </w:r>
          </w:p>
          <w:p w14:paraId="36BC2924" w14:textId="5E5FBA95" w:rsidR="009024DA" w:rsidRDefault="001E073B" w:rsidP="001E073B">
            <w:pPr>
              <w:tabs>
                <w:tab w:val="left" w:pos="1276"/>
                <w:tab w:val="left" w:pos="1418"/>
              </w:tabs>
              <w:suppressAutoHyphens/>
              <w:ind w:firstLine="567"/>
              <w:jc w:val="both"/>
              <w:textAlignment w:val="center"/>
            </w:pPr>
            <w:r>
              <w:t xml:space="preserve">Lietuvos Respublikos </w:t>
            </w:r>
            <w:r w:rsidR="0050100A">
              <w:t>v</w:t>
            </w:r>
            <w:r>
              <w:t xml:space="preserve">iešųjų pirkimų įstatymo </w:t>
            </w:r>
            <w:r w:rsidRPr="00C53163">
              <w:t xml:space="preserve">6 straipsnio 7 punktas </w:t>
            </w:r>
            <w:r>
              <w:t xml:space="preserve">nustato, kad Viešųjų pirkimų įstatymo procedūros netaikomos „paskoloms, susijusioms ar nesusijusioms su vertybinių popierių arba kitų finansinių priemonių emisija, pardavimu, pirkimu ar perleidimu“. </w:t>
            </w:r>
          </w:p>
          <w:p w14:paraId="201C3023" w14:textId="5B596A68" w:rsidR="001E073B" w:rsidRPr="00C0183A" w:rsidRDefault="00C53163" w:rsidP="00C0183A">
            <w:pPr>
              <w:ind w:firstLine="720"/>
              <w:jc w:val="both"/>
              <w:rPr>
                <w:color w:val="000000"/>
                <w:szCs w:val="24"/>
                <w:lang w:eastAsia="lt-LT"/>
              </w:rPr>
            </w:pPr>
            <w:r>
              <w:rPr>
                <w:color w:val="000000"/>
              </w:rPr>
              <w:t>Savivaldybės a</w:t>
            </w:r>
            <w:r w:rsidR="009024DA">
              <w:rPr>
                <w:color w:val="000000"/>
              </w:rPr>
              <w:t>dministracija parengs pirkimo užduotį ir kvies kredito įstaigas teikti pasiūlymus (pirkimas vykdomas apklausos būdu).</w:t>
            </w:r>
            <w:r w:rsidR="00C0183A">
              <w:rPr>
                <w:color w:val="000000"/>
              </w:rPr>
              <w:t xml:space="preserve"> </w:t>
            </w:r>
            <w:r w:rsidR="001E073B">
              <w:t>Paskolos sutartis bus pasirašyta su dalyviu, kurio pasiūlymas bus pripažintas laimėjusiu pagal pasiūlytą mažiausią nekintamą tiekėjo maržą.</w:t>
            </w:r>
          </w:p>
          <w:p w14:paraId="0D30EC44" w14:textId="00CDA267" w:rsidR="001E073B" w:rsidRDefault="001E073B" w:rsidP="001E073B">
            <w:pPr>
              <w:tabs>
                <w:tab w:val="left" w:pos="0"/>
              </w:tabs>
              <w:ind w:right="27" w:firstLine="536"/>
              <w:jc w:val="both"/>
              <w:rPr>
                <w:color w:val="000000"/>
                <w:szCs w:val="24"/>
              </w:rPr>
            </w:pPr>
            <w:r w:rsidRPr="002A7A25">
              <w:rPr>
                <w:szCs w:val="24"/>
              </w:rPr>
              <w:t>202</w:t>
            </w:r>
            <w:r>
              <w:rPr>
                <w:szCs w:val="24"/>
              </w:rPr>
              <w:t>4</w:t>
            </w:r>
            <w:r w:rsidRPr="002A7A25">
              <w:rPr>
                <w:szCs w:val="24"/>
              </w:rPr>
              <w:t xml:space="preserve"> m. Šilutės rajono savivaldybė </w:t>
            </w:r>
            <w:r w:rsidRPr="002A7A25">
              <w:rPr>
                <w:color w:val="000000"/>
                <w:szCs w:val="24"/>
              </w:rPr>
              <w:t>i</w:t>
            </w:r>
            <w:r w:rsidRPr="002A7A25">
              <w:rPr>
                <w:szCs w:val="24"/>
              </w:rPr>
              <w:t>ki 202</w:t>
            </w:r>
            <w:r>
              <w:rPr>
                <w:szCs w:val="24"/>
              </w:rPr>
              <w:t>4</w:t>
            </w:r>
            <w:r w:rsidRPr="002A7A25">
              <w:rPr>
                <w:szCs w:val="24"/>
              </w:rPr>
              <w:t xml:space="preserve"> m. gruodžio 31 d. gali skolin</w:t>
            </w:r>
            <w:r>
              <w:rPr>
                <w:szCs w:val="24"/>
              </w:rPr>
              <w:t>tis 1 967</w:t>
            </w:r>
            <w:r w:rsidRPr="002A7A25">
              <w:rPr>
                <w:szCs w:val="24"/>
              </w:rPr>
              <w:t xml:space="preserve"> tūkst. eurų. Paskola bus panaudota pagal Ūkio skyriaus </w:t>
            </w:r>
            <w:r>
              <w:rPr>
                <w:szCs w:val="24"/>
              </w:rPr>
              <w:t>lėšų poreikio skaičiavimą</w:t>
            </w:r>
            <w:r w:rsidRPr="002A7A25">
              <w:rPr>
                <w:szCs w:val="24"/>
              </w:rPr>
              <w:t>.</w:t>
            </w:r>
            <w:r w:rsidRPr="002A7A25">
              <w:rPr>
                <w:color w:val="000000"/>
                <w:szCs w:val="24"/>
              </w:rPr>
              <w:t xml:space="preserve"> Bus įgyvendinti investicijų proje</w:t>
            </w:r>
            <w:r>
              <w:rPr>
                <w:color w:val="000000"/>
                <w:szCs w:val="24"/>
              </w:rPr>
              <w:t xml:space="preserve">ktai, numatyti Savivaldybės </w:t>
            </w:r>
            <w:r w:rsidRPr="00C53163">
              <w:rPr>
                <w:szCs w:val="24"/>
              </w:rPr>
              <w:t>2024–202</w:t>
            </w:r>
            <w:r w:rsidR="00C53163" w:rsidRPr="00C53163">
              <w:rPr>
                <w:szCs w:val="24"/>
              </w:rPr>
              <w:t>6</w:t>
            </w:r>
            <w:r w:rsidRPr="00C53163">
              <w:rPr>
                <w:szCs w:val="24"/>
              </w:rPr>
              <w:t xml:space="preserve"> </w:t>
            </w:r>
            <w:r w:rsidRPr="002A7A25">
              <w:rPr>
                <w:color w:val="000000"/>
                <w:szCs w:val="24"/>
              </w:rPr>
              <w:t>m. strateginiame ve</w:t>
            </w:r>
            <w:r>
              <w:rPr>
                <w:color w:val="000000"/>
                <w:szCs w:val="24"/>
              </w:rPr>
              <w:t>iklos plane ir savivaldybės 2024</w:t>
            </w:r>
            <w:r w:rsidRPr="002A7A25">
              <w:rPr>
                <w:color w:val="000000"/>
                <w:szCs w:val="24"/>
              </w:rPr>
              <w:t xml:space="preserve"> metų biudžete.</w:t>
            </w:r>
          </w:p>
          <w:p w14:paraId="076347E8" w14:textId="77777777" w:rsidR="001E073B" w:rsidRPr="00D83D4D" w:rsidRDefault="001E073B" w:rsidP="001E073B">
            <w:pPr>
              <w:tabs>
                <w:tab w:val="left" w:pos="0"/>
              </w:tabs>
              <w:ind w:right="27" w:firstLine="536"/>
              <w:jc w:val="both"/>
              <w:rPr>
                <w:color w:val="000000"/>
                <w:sz w:val="16"/>
                <w:szCs w:val="16"/>
              </w:rPr>
            </w:pPr>
          </w:p>
          <w:p w14:paraId="4DDB5607" w14:textId="77777777" w:rsidR="003D62EF" w:rsidRDefault="003D62EF" w:rsidP="003D62EF">
            <w:pPr>
              <w:tabs>
                <w:tab w:val="left" w:pos="0"/>
              </w:tabs>
              <w:ind w:right="27"/>
              <w:jc w:val="both"/>
              <w:rPr>
                <w:color w:val="000000"/>
                <w:szCs w:val="24"/>
              </w:rPr>
            </w:pPr>
          </w:p>
          <w:tbl>
            <w:tblPr>
              <w:tblpPr w:leftFromText="180" w:rightFromText="180" w:vertAnchor="text" w:horzAnchor="margin" w:tblpY="-269"/>
              <w:tblOverlap w:val="never"/>
              <w:tblW w:w="9397" w:type="dxa"/>
              <w:tblLook w:val="04A0" w:firstRow="1" w:lastRow="0" w:firstColumn="1" w:lastColumn="0" w:noHBand="0" w:noVBand="1"/>
            </w:tblPr>
            <w:tblGrid>
              <w:gridCol w:w="534"/>
              <w:gridCol w:w="4213"/>
              <w:gridCol w:w="1413"/>
              <w:gridCol w:w="1413"/>
              <w:gridCol w:w="1824"/>
            </w:tblGrid>
            <w:tr w:rsidR="001E073B" w:rsidRPr="00E32DD8" w14:paraId="245F1D6B" w14:textId="77777777" w:rsidTr="001E073B">
              <w:trPr>
                <w:trHeight w:val="315"/>
              </w:trPr>
              <w:tc>
                <w:tcPr>
                  <w:tcW w:w="53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170D8C7D" w14:textId="77777777" w:rsidR="001E073B" w:rsidRPr="00E32DD8" w:rsidRDefault="001E073B" w:rsidP="001E073B">
                  <w:pPr>
                    <w:jc w:val="center"/>
                    <w:rPr>
                      <w:sz w:val="20"/>
                      <w:lang w:eastAsia="lt-LT"/>
                    </w:rPr>
                  </w:pPr>
                  <w:r w:rsidRPr="00E32DD8">
                    <w:rPr>
                      <w:sz w:val="20"/>
                      <w:lang w:eastAsia="lt-LT"/>
                    </w:rPr>
                    <w:t>Eil. Nr.</w:t>
                  </w:r>
                </w:p>
              </w:tc>
              <w:tc>
                <w:tcPr>
                  <w:tcW w:w="4213" w:type="dxa"/>
                  <w:tcBorders>
                    <w:top w:val="single" w:sz="8" w:space="0" w:color="auto"/>
                    <w:left w:val="single" w:sz="8" w:space="0" w:color="auto"/>
                    <w:bottom w:val="single" w:sz="8" w:space="0" w:color="000000"/>
                    <w:right w:val="nil"/>
                  </w:tcBorders>
                  <w:shd w:val="clear" w:color="000000" w:fill="FFFFFF"/>
                  <w:vAlign w:val="center"/>
                  <w:hideMark/>
                </w:tcPr>
                <w:p w14:paraId="7DD355F9" w14:textId="77777777" w:rsidR="001E073B" w:rsidRPr="00E32DD8" w:rsidRDefault="001E073B" w:rsidP="001E073B">
                  <w:pPr>
                    <w:jc w:val="center"/>
                    <w:rPr>
                      <w:b/>
                      <w:bCs/>
                      <w:sz w:val="20"/>
                      <w:lang w:eastAsia="lt-LT"/>
                    </w:rPr>
                  </w:pPr>
                  <w:r w:rsidRPr="0086195C">
                    <w:rPr>
                      <w:b/>
                      <w:bCs/>
                      <w:sz w:val="20"/>
                      <w:lang w:eastAsia="lt-LT"/>
                    </w:rPr>
                    <w:t>Priemonės pavadinimas</w:t>
                  </w:r>
                </w:p>
              </w:tc>
              <w:tc>
                <w:tcPr>
                  <w:tcW w:w="141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F9624FF" w14:textId="77777777" w:rsidR="001E073B" w:rsidRPr="00E32DD8" w:rsidRDefault="001E073B" w:rsidP="001E073B">
                  <w:pPr>
                    <w:jc w:val="center"/>
                    <w:rPr>
                      <w:b/>
                      <w:bCs/>
                      <w:sz w:val="20"/>
                      <w:lang w:eastAsia="lt-LT"/>
                    </w:rPr>
                  </w:pPr>
                  <w:r w:rsidRPr="00E32DD8">
                    <w:rPr>
                      <w:b/>
                      <w:bCs/>
                      <w:sz w:val="20"/>
                      <w:lang w:eastAsia="lt-LT"/>
                    </w:rPr>
                    <w:t>Priemonės kodas</w:t>
                  </w:r>
                </w:p>
              </w:tc>
              <w:tc>
                <w:tcPr>
                  <w:tcW w:w="1413"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2E162813" w14:textId="77777777" w:rsidR="001E073B" w:rsidRPr="00E32DD8" w:rsidRDefault="001E073B" w:rsidP="001E073B">
                  <w:pPr>
                    <w:jc w:val="center"/>
                    <w:rPr>
                      <w:b/>
                      <w:bCs/>
                      <w:sz w:val="20"/>
                      <w:lang w:eastAsia="lt-LT"/>
                    </w:rPr>
                  </w:pPr>
                  <w:r w:rsidRPr="00E32DD8">
                    <w:rPr>
                      <w:b/>
                      <w:bCs/>
                      <w:sz w:val="20"/>
                      <w:lang w:eastAsia="lt-LT"/>
                    </w:rPr>
                    <w:t>Valstybės funkcija</w:t>
                  </w:r>
                </w:p>
              </w:tc>
              <w:tc>
                <w:tcPr>
                  <w:tcW w:w="18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0C27C9" w14:textId="452EB382" w:rsidR="001E073B" w:rsidRPr="00E32DD8" w:rsidRDefault="001E073B" w:rsidP="001E073B">
                  <w:pPr>
                    <w:jc w:val="center"/>
                    <w:rPr>
                      <w:b/>
                      <w:bCs/>
                      <w:sz w:val="20"/>
                      <w:lang w:eastAsia="lt-LT"/>
                    </w:rPr>
                  </w:pPr>
                  <w:r w:rsidRPr="00E32DD8">
                    <w:rPr>
                      <w:b/>
                      <w:bCs/>
                      <w:sz w:val="20"/>
                      <w:lang w:eastAsia="lt-LT"/>
                    </w:rPr>
                    <w:t>202</w:t>
                  </w:r>
                  <w:r w:rsidR="003D62EF">
                    <w:rPr>
                      <w:b/>
                      <w:bCs/>
                      <w:sz w:val="20"/>
                      <w:lang w:eastAsia="lt-LT"/>
                    </w:rPr>
                    <w:t>4</w:t>
                  </w:r>
                  <w:r w:rsidRPr="00E32DD8">
                    <w:rPr>
                      <w:b/>
                      <w:bCs/>
                      <w:sz w:val="20"/>
                      <w:lang w:eastAsia="lt-LT"/>
                    </w:rPr>
                    <w:t xml:space="preserve"> m. asignavimai, Eur</w:t>
                  </w:r>
                </w:p>
              </w:tc>
            </w:tr>
            <w:tr w:rsidR="001E073B" w:rsidRPr="00E32DD8" w14:paraId="21E00BA7" w14:textId="77777777" w:rsidTr="001E073B">
              <w:trPr>
                <w:trHeight w:val="63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84BB7" w14:textId="77777777" w:rsidR="001E073B" w:rsidRPr="00E32DD8" w:rsidRDefault="001E073B" w:rsidP="001E073B">
                  <w:pPr>
                    <w:jc w:val="center"/>
                    <w:rPr>
                      <w:color w:val="000000"/>
                      <w:sz w:val="20"/>
                      <w:lang w:eastAsia="lt-LT"/>
                    </w:rPr>
                  </w:pPr>
                  <w:r w:rsidRPr="00E32DD8">
                    <w:rPr>
                      <w:color w:val="000000"/>
                      <w:sz w:val="20"/>
                      <w:lang w:eastAsia="lt-LT"/>
                    </w:rPr>
                    <w:t>1.</w:t>
                  </w:r>
                </w:p>
              </w:tc>
              <w:tc>
                <w:tcPr>
                  <w:tcW w:w="4213" w:type="dxa"/>
                  <w:tcBorders>
                    <w:top w:val="single" w:sz="4" w:space="0" w:color="auto"/>
                    <w:left w:val="nil"/>
                    <w:bottom w:val="single" w:sz="4" w:space="0" w:color="auto"/>
                    <w:right w:val="single" w:sz="4" w:space="0" w:color="auto"/>
                  </w:tcBorders>
                  <w:shd w:val="clear" w:color="FFFFFF" w:fill="FFFFFF"/>
                  <w:vAlign w:val="center"/>
                  <w:hideMark/>
                </w:tcPr>
                <w:p w14:paraId="237D8E03" w14:textId="77777777" w:rsidR="001E073B" w:rsidRPr="00E32DD8" w:rsidRDefault="001E073B" w:rsidP="001E073B">
                  <w:pPr>
                    <w:rPr>
                      <w:color w:val="000000"/>
                      <w:sz w:val="20"/>
                      <w:lang w:eastAsia="lt-LT"/>
                    </w:rPr>
                  </w:pPr>
                  <w:r w:rsidRPr="00FD4E06">
                    <w:rPr>
                      <w:color w:val="000000"/>
                      <w:sz w:val="20"/>
                      <w:lang w:eastAsia="lt-LT"/>
                    </w:rPr>
                    <w:t>Seniūnijų vietinės reikšmės kelių remontas ir rekonstrukcija</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22BDDD89" w14:textId="77777777" w:rsidR="001E073B" w:rsidRPr="00E32DD8" w:rsidRDefault="001E073B" w:rsidP="001E073B">
                  <w:pPr>
                    <w:jc w:val="center"/>
                    <w:rPr>
                      <w:color w:val="FF0000"/>
                      <w:sz w:val="20"/>
                      <w:lang w:eastAsia="lt-LT"/>
                    </w:rPr>
                  </w:pPr>
                  <w:r w:rsidRPr="00FD4E06">
                    <w:rPr>
                      <w:sz w:val="20"/>
                      <w:lang w:eastAsia="lt-LT"/>
                    </w:rPr>
                    <w:t>08.01.05.02.</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68E89F71" w14:textId="77777777" w:rsidR="001E073B" w:rsidRPr="00E32DD8" w:rsidRDefault="001E073B" w:rsidP="001E073B">
                  <w:pPr>
                    <w:jc w:val="center"/>
                    <w:rPr>
                      <w:color w:val="FF0000"/>
                      <w:sz w:val="20"/>
                      <w:lang w:eastAsia="lt-LT"/>
                    </w:rPr>
                  </w:pPr>
                  <w:r w:rsidRPr="00E32DD8">
                    <w:rPr>
                      <w:color w:val="000000"/>
                      <w:sz w:val="20"/>
                      <w:lang w:eastAsia="lt-LT"/>
                    </w:rPr>
                    <w:t>0</w:t>
                  </w:r>
                  <w:r>
                    <w:rPr>
                      <w:color w:val="000000"/>
                      <w:sz w:val="20"/>
                      <w:lang w:eastAsia="lt-LT"/>
                    </w:rPr>
                    <w:t>4</w:t>
                  </w:r>
                  <w:r w:rsidRPr="00E32DD8">
                    <w:rPr>
                      <w:color w:val="000000"/>
                      <w:sz w:val="20"/>
                      <w:lang w:eastAsia="lt-LT"/>
                    </w:rPr>
                    <w:t>.0</w:t>
                  </w:r>
                  <w:r>
                    <w:rPr>
                      <w:color w:val="000000"/>
                      <w:sz w:val="20"/>
                      <w:lang w:eastAsia="lt-LT"/>
                    </w:rPr>
                    <w:t>5</w:t>
                  </w:r>
                  <w:r w:rsidRPr="00E32DD8">
                    <w:rPr>
                      <w:color w:val="000000"/>
                      <w:sz w:val="20"/>
                      <w:lang w:eastAsia="lt-LT"/>
                    </w:rPr>
                    <w:t>.01.02.</w:t>
                  </w:r>
                </w:p>
              </w:tc>
              <w:tc>
                <w:tcPr>
                  <w:tcW w:w="1824" w:type="dxa"/>
                  <w:tcBorders>
                    <w:top w:val="single" w:sz="4" w:space="0" w:color="auto"/>
                    <w:left w:val="nil"/>
                    <w:bottom w:val="single" w:sz="4" w:space="0" w:color="auto"/>
                    <w:right w:val="single" w:sz="4" w:space="0" w:color="auto"/>
                  </w:tcBorders>
                  <w:shd w:val="clear" w:color="auto" w:fill="auto"/>
                  <w:noWrap/>
                  <w:vAlign w:val="center"/>
                  <w:hideMark/>
                </w:tcPr>
                <w:p w14:paraId="3F39A79D" w14:textId="5961B2A1" w:rsidR="001E073B" w:rsidRPr="00E32DD8" w:rsidRDefault="001E073B" w:rsidP="001E073B">
                  <w:pPr>
                    <w:jc w:val="center"/>
                    <w:rPr>
                      <w:color w:val="000000"/>
                      <w:sz w:val="20"/>
                      <w:lang w:eastAsia="lt-LT"/>
                    </w:rPr>
                  </w:pPr>
                  <w:r w:rsidRPr="0086195C">
                    <w:rPr>
                      <w:color w:val="000000"/>
                      <w:sz w:val="20"/>
                      <w:lang w:eastAsia="lt-LT"/>
                    </w:rPr>
                    <w:t>1 3</w:t>
                  </w:r>
                  <w:r w:rsidR="003D62EF">
                    <w:rPr>
                      <w:color w:val="000000"/>
                      <w:sz w:val="20"/>
                      <w:lang w:eastAsia="lt-LT"/>
                    </w:rPr>
                    <w:t>17</w:t>
                  </w:r>
                  <w:r w:rsidRPr="00E32DD8">
                    <w:rPr>
                      <w:color w:val="000000"/>
                      <w:sz w:val="20"/>
                      <w:lang w:eastAsia="lt-LT"/>
                    </w:rPr>
                    <w:t xml:space="preserve"> 000,00</w:t>
                  </w:r>
                </w:p>
              </w:tc>
            </w:tr>
            <w:tr w:rsidR="001E073B" w:rsidRPr="00E32DD8" w14:paraId="3E7BF0A8" w14:textId="77777777" w:rsidTr="001E073B">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B2BC270" w14:textId="77777777" w:rsidR="001E073B" w:rsidRPr="00E32DD8" w:rsidRDefault="001E073B" w:rsidP="001E073B">
                  <w:pPr>
                    <w:jc w:val="center"/>
                    <w:rPr>
                      <w:color w:val="000000"/>
                      <w:sz w:val="20"/>
                      <w:lang w:eastAsia="lt-LT"/>
                    </w:rPr>
                  </w:pPr>
                  <w:r w:rsidRPr="00E32DD8">
                    <w:rPr>
                      <w:color w:val="000000"/>
                      <w:sz w:val="20"/>
                      <w:lang w:eastAsia="lt-LT"/>
                    </w:rPr>
                    <w:t>2.</w:t>
                  </w:r>
                </w:p>
              </w:tc>
              <w:tc>
                <w:tcPr>
                  <w:tcW w:w="4213" w:type="dxa"/>
                  <w:tcBorders>
                    <w:top w:val="nil"/>
                    <w:left w:val="nil"/>
                    <w:bottom w:val="single" w:sz="4" w:space="0" w:color="auto"/>
                    <w:right w:val="single" w:sz="4" w:space="0" w:color="auto"/>
                  </w:tcBorders>
                  <w:shd w:val="clear" w:color="FFFFFF" w:fill="FFFFFF"/>
                  <w:vAlign w:val="center"/>
                  <w:hideMark/>
                </w:tcPr>
                <w:p w14:paraId="48CF0214" w14:textId="314F646C" w:rsidR="001E073B" w:rsidRPr="00E32DD8" w:rsidRDefault="003D62EF" w:rsidP="001E073B">
                  <w:pPr>
                    <w:rPr>
                      <w:color w:val="000000"/>
                      <w:sz w:val="20"/>
                      <w:lang w:eastAsia="lt-LT"/>
                    </w:rPr>
                  </w:pPr>
                  <w:r w:rsidRPr="003D62EF">
                    <w:rPr>
                      <w:color w:val="000000"/>
                      <w:sz w:val="20"/>
                      <w:lang w:eastAsia="lt-LT"/>
                    </w:rPr>
                    <w:t>Pamario pagrindinės mokyklos  pastato ir stadiono atnaujinimo darbai</w:t>
                  </w:r>
                </w:p>
              </w:tc>
              <w:tc>
                <w:tcPr>
                  <w:tcW w:w="1413" w:type="dxa"/>
                  <w:tcBorders>
                    <w:top w:val="nil"/>
                    <w:left w:val="nil"/>
                    <w:bottom w:val="single" w:sz="4" w:space="0" w:color="auto"/>
                    <w:right w:val="single" w:sz="4" w:space="0" w:color="auto"/>
                  </w:tcBorders>
                  <w:shd w:val="clear" w:color="auto" w:fill="auto"/>
                  <w:noWrap/>
                  <w:vAlign w:val="center"/>
                  <w:hideMark/>
                </w:tcPr>
                <w:p w14:paraId="488F865E" w14:textId="0265A356" w:rsidR="001E073B" w:rsidRPr="00E32DD8" w:rsidRDefault="003D62EF" w:rsidP="001E073B">
                  <w:pPr>
                    <w:jc w:val="center"/>
                    <w:rPr>
                      <w:color w:val="000000"/>
                      <w:sz w:val="20"/>
                      <w:lang w:eastAsia="lt-LT"/>
                    </w:rPr>
                  </w:pPr>
                  <w:r w:rsidRPr="003D62EF">
                    <w:rPr>
                      <w:color w:val="000000"/>
                      <w:sz w:val="20"/>
                      <w:lang w:eastAsia="lt-LT"/>
                    </w:rPr>
                    <w:t>08.01.02.19</w:t>
                  </w:r>
                  <w:r w:rsidR="001E073B" w:rsidRPr="00E32DD8">
                    <w:rPr>
                      <w:color w:val="000000"/>
                      <w:sz w:val="20"/>
                      <w:lang w:eastAsia="lt-LT"/>
                    </w:rPr>
                    <w:t>.</w:t>
                  </w:r>
                </w:p>
              </w:tc>
              <w:tc>
                <w:tcPr>
                  <w:tcW w:w="1413" w:type="dxa"/>
                  <w:tcBorders>
                    <w:top w:val="nil"/>
                    <w:left w:val="nil"/>
                    <w:bottom w:val="single" w:sz="4" w:space="0" w:color="auto"/>
                    <w:right w:val="single" w:sz="4" w:space="0" w:color="auto"/>
                  </w:tcBorders>
                  <w:shd w:val="clear" w:color="auto" w:fill="auto"/>
                  <w:noWrap/>
                  <w:vAlign w:val="center"/>
                  <w:hideMark/>
                </w:tcPr>
                <w:p w14:paraId="45229A77" w14:textId="4BF84F11" w:rsidR="001E073B" w:rsidRPr="00E32DD8" w:rsidRDefault="003D62EF" w:rsidP="001E073B">
                  <w:pPr>
                    <w:jc w:val="center"/>
                    <w:rPr>
                      <w:color w:val="000000"/>
                      <w:sz w:val="20"/>
                      <w:lang w:eastAsia="lt-LT"/>
                    </w:rPr>
                  </w:pPr>
                  <w:r w:rsidRPr="003D62EF">
                    <w:rPr>
                      <w:color w:val="000000"/>
                      <w:sz w:val="20"/>
                      <w:lang w:eastAsia="lt-LT"/>
                    </w:rPr>
                    <w:t xml:space="preserve"> 09.02.01.01.</w:t>
                  </w:r>
                </w:p>
              </w:tc>
              <w:tc>
                <w:tcPr>
                  <w:tcW w:w="1824" w:type="dxa"/>
                  <w:tcBorders>
                    <w:top w:val="nil"/>
                    <w:left w:val="nil"/>
                    <w:bottom w:val="single" w:sz="4" w:space="0" w:color="auto"/>
                    <w:right w:val="single" w:sz="4" w:space="0" w:color="auto"/>
                  </w:tcBorders>
                  <w:shd w:val="clear" w:color="auto" w:fill="auto"/>
                  <w:noWrap/>
                  <w:vAlign w:val="center"/>
                  <w:hideMark/>
                </w:tcPr>
                <w:p w14:paraId="5B8CAAA9" w14:textId="25233CD2" w:rsidR="001E073B" w:rsidRPr="00E32DD8" w:rsidRDefault="003D62EF" w:rsidP="001E073B">
                  <w:pPr>
                    <w:jc w:val="center"/>
                    <w:rPr>
                      <w:sz w:val="20"/>
                      <w:lang w:eastAsia="lt-LT"/>
                    </w:rPr>
                  </w:pPr>
                  <w:r>
                    <w:rPr>
                      <w:sz w:val="20"/>
                      <w:lang w:eastAsia="lt-LT"/>
                    </w:rPr>
                    <w:t>6</w:t>
                  </w:r>
                  <w:r w:rsidR="001E073B" w:rsidRPr="0086195C">
                    <w:rPr>
                      <w:sz w:val="20"/>
                      <w:lang w:eastAsia="lt-LT"/>
                    </w:rPr>
                    <w:t>50</w:t>
                  </w:r>
                  <w:r w:rsidR="001E073B" w:rsidRPr="00E32DD8">
                    <w:rPr>
                      <w:sz w:val="20"/>
                      <w:lang w:eastAsia="lt-LT"/>
                    </w:rPr>
                    <w:t xml:space="preserve"> 000,00</w:t>
                  </w:r>
                </w:p>
              </w:tc>
            </w:tr>
            <w:tr w:rsidR="001E073B" w:rsidRPr="00E32DD8" w14:paraId="3504680A" w14:textId="77777777" w:rsidTr="001E073B">
              <w:trPr>
                <w:trHeight w:val="222"/>
              </w:trPr>
              <w:tc>
                <w:tcPr>
                  <w:tcW w:w="534" w:type="dxa"/>
                  <w:tcBorders>
                    <w:top w:val="nil"/>
                    <w:left w:val="single" w:sz="4" w:space="0" w:color="auto"/>
                    <w:bottom w:val="single" w:sz="4" w:space="0" w:color="auto"/>
                    <w:right w:val="single" w:sz="4" w:space="0" w:color="auto"/>
                  </w:tcBorders>
                  <w:shd w:val="clear" w:color="000000" w:fill="E2EFDA"/>
                  <w:noWrap/>
                  <w:vAlign w:val="bottom"/>
                  <w:hideMark/>
                </w:tcPr>
                <w:p w14:paraId="33CC4003" w14:textId="77777777" w:rsidR="001E073B" w:rsidRPr="00E32DD8" w:rsidRDefault="001E073B" w:rsidP="001E073B">
                  <w:pPr>
                    <w:jc w:val="center"/>
                    <w:rPr>
                      <w:color w:val="000000"/>
                      <w:sz w:val="20"/>
                      <w:lang w:eastAsia="lt-LT"/>
                    </w:rPr>
                  </w:pPr>
                  <w:r w:rsidRPr="00E32DD8">
                    <w:rPr>
                      <w:color w:val="000000"/>
                      <w:sz w:val="20"/>
                      <w:lang w:eastAsia="lt-LT"/>
                    </w:rPr>
                    <w:t> </w:t>
                  </w:r>
                </w:p>
              </w:tc>
              <w:tc>
                <w:tcPr>
                  <w:tcW w:w="4213" w:type="dxa"/>
                  <w:tcBorders>
                    <w:top w:val="nil"/>
                    <w:left w:val="nil"/>
                    <w:bottom w:val="single" w:sz="4" w:space="0" w:color="auto"/>
                    <w:right w:val="single" w:sz="4" w:space="0" w:color="auto"/>
                  </w:tcBorders>
                  <w:shd w:val="clear" w:color="000000" w:fill="E2EFDA"/>
                  <w:noWrap/>
                  <w:vAlign w:val="bottom"/>
                  <w:hideMark/>
                </w:tcPr>
                <w:p w14:paraId="3DC08AE8" w14:textId="1985C990" w:rsidR="001E073B" w:rsidRPr="00E32DD8" w:rsidRDefault="001E073B" w:rsidP="001E073B">
                  <w:pPr>
                    <w:jc w:val="center"/>
                    <w:rPr>
                      <w:b/>
                      <w:bCs/>
                      <w:color w:val="000000"/>
                      <w:sz w:val="20"/>
                      <w:lang w:eastAsia="lt-LT"/>
                    </w:rPr>
                  </w:pPr>
                  <w:r w:rsidRPr="00E32DD8">
                    <w:rPr>
                      <w:b/>
                      <w:bCs/>
                      <w:color w:val="000000"/>
                      <w:sz w:val="20"/>
                      <w:lang w:eastAsia="lt-LT"/>
                    </w:rPr>
                    <w:t xml:space="preserve">   IŠ VISO</w:t>
                  </w:r>
                </w:p>
              </w:tc>
              <w:tc>
                <w:tcPr>
                  <w:tcW w:w="1413" w:type="dxa"/>
                  <w:tcBorders>
                    <w:top w:val="nil"/>
                    <w:left w:val="nil"/>
                    <w:bottom w:val="single" w:sz="4" w:space="0" w:color="auto"/>
                    <w:right w:val="single" w:sz="4" w:space="0" w:color="auto"/>
                  </w:tcBorders>
                  <w:shd w:val="clear" w:color="000000" w:fill="E2EFDA"/>
                  <w:noWrap/>
                  <w:vAlign w:val="bottom"/>
                  <w:hideMark/>
                </w:tcPr>
                <w:p w14:paraId="1E9DBBA0" w14:textId="77777777" w:rsidR="001E073B" w:rsidRPr="00E32DD8" w:rsidRDefault="001E073B" w:rsidP="001E073B">
                  <w:pPr>
                    <w:jc w:val="right"/>
                    <w:rPr>
                      <w:b/>
                      <w:bCs/>
                      <w:color w:val="000000"/>
                      <w:sz w:val="20"/>
                      <w:lang w:eastAsia="lt-LT"/>
                    </w:rPr>
                  </w:pPr>
                  <w:r w:rsidRPr="00E32DD8">
                    <w:rPr>
                      <w:b/>
                      <w:bCs/>
                      <w:color w:val="000000"/>
                      <w:sz w:val="20"/>
                      <w:lang w:eastAsia="lt-LT"/>
                    </w:rPr>
                    <w:t> </w:t>
                  </w:r>
                </w:p>
              </w:tc>
              <w:tc>
                <w:tcPr>
                  <w:tcW w:w="1413" w:type="dxa"/>
                  <w:tcBorders>
                    <w:top w:val="nil"/>
                    <w:left w:val="nil"/>
                    <w:bottom w:val="single" w:sz="4" w:space="0" w:color="auto"/>
                    <w:right w:val="single" w:sz="4" w:space="0" w:color="auto"/>
                  </w:tcBorders>
                  <w:shd w:val="clear" w:color="000000" w:fill="E2EFDA"/>
                  <w:noWrap/>
                  <w:vAlign w:val="bottom"/>
                  <w:hideMark/>
                </w:tcPr>
                <w:p w14:paraId="2433BEB2" w14:textId="77777777" w:rsidR="001E073B" w:rsidRPr="00E32DD8" w:rsidRDefault="001E073B" w:rsidP="001E073B">
                  <w:pPr>
                    <w:rPr>
                      <w:rFonts w:ascii="Calibri" w:hAnsi="Calibri" w:cs="Calibri"/>
                      <w:color w:val="000000"/>
                      <w:sz w:val="20"/>
                      <w:lang w:eastAsia="lt-LT"/>
                    </w:rPr>
                  </w:pPr>
                  <w:r w:rsidRPr="00E32DD8">
                    <w:rPr>
                      <w:rFonts w:ascii="Calibri" w:hAnsi="Calibri" w:cs="Calibri"/>
                      <w:color w:val="000000"/>
                      <w:sz w:val="20"/>
                      <w:lang w:eastAsia="lt-LT"/>
                    </w:rPr>
                    <w:t> </w:t>
                  </w:r>
                </w:p>
              </w:tc>
              <w:tc>
                <w:tcPr>
                  <w:tcW w:w="1824" w:type="dxa"/>
                  <w:tcBorders>
                    <w:top w:val="nil"/>
                    <w:left w:val="nil"/>
                    <w:bottom w:val="single" w:sz="4" w:space="0" w:color="auto"/>
                    <w:right w:val="single" w:sz="4" w:space="0" w:color="auto"/>
                  </w:tcBorders>
                  <w:shd w:val="clear" w:color="000000" w:fill="E2EFDA"/>
                  <w:noWrap/>
                  <w:vAlign w:val="bottom"/>
                  <w:hideMark/>
                </w:tcPr>
                <w:p w14:paraId="702776C5" w14:textId="453ABEB0" w:rsidR="001E073B" w:rsidRPr="00E32DD8" w:rsidRDefault="001E073B" w:rsidP="001E073B">
                  <w:pPr>
                    <w:jc w:val="center"/>
                    <w:rPr>
                      <w:b/>
                      <w:bCs/>
                      <w:color w:val="000000"/>
                      <w:sz w:val="20"/>
                      <w:lang w:eastAsia="lt-LT"/>
                    </w:rPr>
                  </w:pPr>
                  <w:r>
                    <w:rPr>
                      <w:b/>
                      <w:bCs/>
                      <w:color w:val="000000"/>
                      <w:sz w:val="20"/>
                      <w:lang w:eastAsia="lt-LT"/>
                    </w:rPr>
                    <w:t xml:space="preserve">1 </w:t>
                  </w:r>
                  <w:r w:rsidR="003D62EF">
                    <w:rPr>
                      <w:b/>
                      <w:bCs/>
                      <w:color w:val="000000"/>
                      <w:sz w:val="20"/>
                      <w:lang w:eastAsia="lt-LT"/>
                    </w:rPr>
                    <w:t>967</w:t>
                  </w:r>
                  <w:r w:rsidRPr="00E32DD8">
                    <w:rPr>
                      <w:b/>
                      <w:bCs/>
                      <w:color w:val="000000"/>
                      <w:sz w:val="20"/>
                      <w:lang w:eastAsia="lt-LT"/>
                    </w:rPr>
                    <w:t xml:space="preserve"> 000,00</w:t>
                  </w:r>
                </w:p>
              </w:tc>
            </w:tr>
          </w:tbl>
          <w:p w14:paraId="6768CF77" w14:textId="23F14DD3" w:rsidR="00E32DD8" w:rsidRPr="00281D25" w:rsidRDefault="00E32DD8" w:rsidP="0086195C">
            <w:pPr>
              <w:tabs>
                <w:tab w:val="left" w:pos="0"/>
              </w:tabs>
              <w:ind w:right="27"/>
              <w:jc w:val="both"/>
              <w:rPr>
                <w:color w:val="000000"/>
              </w:rPr>
            </w:pPr>
          </w:p>
        </w:tc>
      </w:tr>
    </w:tbl>
    <w:p w14:paraId="0A183281" w14:textId="77777777" w:rsidR="00DD1F44" w:rsidRPr="00D83D4D" w:rsidRDefault="00DD1F44" w:rsidP="00974D16">
      <w:pPr>
        <w:pStyle w:val="Pagrindiniotekstotrauka3"/>
        <w:spacing w:after="0"/>
        <w:rPr>
          <w:b/>
          <w:bCs/>
          <w:sz w:val="32"/>
          <w:szCs w:val="32"/>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7D426" w14:textId="77777777" w:rsidR="008D3FBD" w:rsidRDefault="008D3FBD">
      <w:r>
        <w:separator/>
      </w:r>
    </w:p>
  </w:endnote>
  <w:endnote w:type="continuationSeparator" w:id="0">
    <w:p w14:paraId="10BD3826" w14:textId="77777777" w:rsidR="008D3FBD" w:rsidRDefault="008D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5721D" w14:textId="77777777" w:rsidR="008D3FBD" w:rsidRDefault="008D3FBD">
      <w:r>
        <w:separator/>
      </w:r>
    </w:p>
  </w:footnote>
  <w:footnote w:type="continuationSeparator" w:id="0">
    <w:p w14:paraId="2361F24F" w14:textId="77777777" w:rsidR="008D3FBD" w:rsidRDefault="008D3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D65E5"/>
    <w:rsid w:val="00127EC0"/>
    <w:rsid w:val="00131854"/>
    <w:rsid w:val="001763C3"/>
    <w:rsid w:val="00182AFB"/>
    <w:rsid w:val="001C02BA"/>
    <w:rsid w:val="001C253E"/>
    <w:rsid w:val="001E073B"/>
    <w:rsid w:val="001E4BDD"/>
    <w:rsid w:val="001F233C"/>
    <w:rsid w:val="00253100"/>
    <w:rsid w:val="00270857"/>
    <w:rsid w:val="0027393F"/>
    <w:rsid w:val="00281D25"/>
    <w:rsid w:val="002E595E"/>
    <w:rsid w:val="002F1722"/>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71CD9"/>
    <w:rsid w:val="0047544E"/>
    <w:rsid w:val="00497D98"/>
    <w:rsid w:val="004A50D1"/>
    <w:rsid w:val="0050100A"/>
    <w:rsid w:val="00536A85"/>
    <w:rsid w:val="00553E8B"/>
    <w:rsid w:val="00577AD8"/>
    <w:rsid w:val="00592920"/>
    <w:rsid w:val="005B0588"/>
    <w:rsid w:val="005C3754"/>
    <w:rsid w:val="005D1983"/>
    <w:rsid w:val="005D31C1"/>
    <w:rsid w:val="006100CA"/>
    <w:rsid w:val="0062685A"/>
    <w:rsid w:val="00654842"/>
    <w:rsid w:val="0069221D"/>
    <w:rsid w:val="006E5149"/>
    <w:rsid w:val="00727350"/>
    <w:rsid w:val="0077196C"/>
    <w:rsid w:val="007C042D"/>
    <w:rsid w:val="007E4B22"/>
    <w:rsid w:val="007F62BC"/>
    <w:rsid w:val="00807985"/>
    <w:rsid w:val="00807E49"/>
    <w:rsid w:val="008244D0"/>
    <w:rsid w:val="0085520C"/>
    <w:rsid w:val="0086195C"/>
    <w:rsid w:val="00870339"/>
    <w:rsid w:val="008A1957"/>
    <w:rsid w:val="008C3195"/>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F1BB7"/>
    <w:rsid w:val="009F3AD4"/>
    <w:rsid w:val="00A45FA2"/>
    <w:rsid w:val="00A466E8"/>
    <w:rsid w:val="00B03E5C"/>
    <w:rsid w:val="00B257C0"/>
    <w:rsid w:val="00B36096"/>
    <w:rsid w:val="00B55D2E"/>
    <w:rsid w:val="00B73E58"/>
    <w:rsid w:val="00B75F92"/>
    <w:rsid w:val="00B82902"/>
    <w:rsid w:val="00BA30FB"/>
    <w:rsid w:val="00BB4E15"/>
    <w:rsid w:val="00C0183A"/>
    <w:rsid w:val="00C16AE0"/>
    <w:rsid w:val="00C53163"/>
    <w:rsid w:val="00C62447"/>
    <w:rsid w:val="00C80B3C"/>
    <w:rsid w:val="00CB5CF9"/>
    <w:rsid w:val="00CF3D50"/>
    <w:rsid w:val="00D00367"/>
    <w:rsid w:val="00D13E6F"/>
    <w:rsid w:val="00D3443B"/>
    <w:rsid w:val="00D57B83"/>
    <w:rsid w:val="00D75E7B"/>
    <w:rsid w:val="00D83D4D"/>
    <w:rsid w:val="00DA6B2E"/>
    <w:rsid w:val="00DB6543"/>
    <w:rsid w:val="00DD0F78"/>
    <w:rsid w:val="00DD1F44"/>
    <w:rsid w:val="00DF52C0"/>
    <w:rsid w:val="00E32DD8"/>
    <w:rsid w:val="00E62A1C"/>
    <w:rsid w:val="00E6538C"/>
    <w:rsid w:val="00E80DDD"/>
    <w:rsid w:val="00EC0E5A"/>
    <w:rsid w:val="00EC683E"/>
    <w:rsid w:val="00EF6A5A"/>
    <w:rsid w:val="00F117D5"/>
    <w:rsid w:val="00F1262A"/>
    <w:rsid w:val="00F1347F"/>
    <w:rsid w:val="00F1584F"/>
    <w:rsid w:val="00F2137A"/>
    <w:rsid w:val="00F829A5"/>
    <w:rsid w:val="00F82FBD"/>
    <w:rsid w:val="00FD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4239</Words>
  <Characters>2417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2024-04-05T12:12:00Z</dcterms:created>
  <dcterms:modified xsi:type="dcterms:W3CDTF">2024-04-05T12:12:00Z</dcterms:modified>
</cp:coreProperties>
</file>