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DC03D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ŠILUTĖS RAJONO SAVIVALDYBĖS ADMINISTRACIJOS</w:t>
      </w:r>
    </w:p>
    <w:p w14:paraId="3A04C8B7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PLANAVIMO IR PLĖTROS SKYRIUS</w:t>
      </w:r>
    </w:p>
    <w:p w14:paraId="6494E554" w14:textId="77777777" w:rsidR="00FA229E" w:rsidRPr="00FA229E" w:rsidRDefault="00FA229E" w:rsidP="00FA229E">
      <w:pPr>
        <w:keepNext/>
        <w:suppressAutoHyphens/>
        <w:spacing w:before="240" w:after="120" w:line="240" w:lineRule="auto"/>
        <w:rPr>
          <w:rFonts w:ascii="Times New Roman" w:eastAsia="Microsoft YaHei" w:hAnsi="Times New Roman" w:cs="Arial"/>
          <w:caps/>
          <w:color w:val="00000A"/>
          <w:kern w:val="2"/>
          <w:sz w:val="28"/>
          <w:szCs w:val="28"/>
          <w:lang w:eastAsia="zh-CN" w:bidi="hi-IN"/>
        </w:rPr>
      </w:pPr>
    </w:p>
    <w:p w14:paraId="3F2EA0FB" w14:textId="77777777" w:rsidR="00FA229E" w:rsidRPr="00FA229E" w:rsidRDefault="00FA229E" w:rsidP="008B7803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  <w:t>AIŠKINAMASIS RAŠTAS</w:t>
      </w:r>
    </w:p>
    <w:p w14:paraId="61165ADE" w14:textId="2C2F3C57" w:rsidR="00FA229E" w:rsidRDefault="00E72839" w:rsidP="008B7803">
      <w:pPr>
        <w:spacing w:after="0" w:line="240" w:lineRule="auto"/>
        <w:jc w:val="center"/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;宋体" w:hAnsi="Times New Roman" w:cs="Arial"/>
          <w:b/>
          <w:caps/>
          <w:color w:val="00000A"/>
          <w:kern w:val="2"/>
          <w:sz w:val="24"/>
          <w:szCs w:val="24"/>
          <w:lang w:eastAsia="zh-CN" w:bidi="hi-IN"/>
        </w:rPr>
        <w:t xml:space="preserve">    </w:t>
      </w:r>
      <w:r w:rsidR="00FA229E" w:rsidRPr="006A48CB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DĖL TARYBOS SPRENDIMO PROJEKTO </w:t>
      </w:r>
      <w:r w:rsidR="000F220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</w:t>
      </w:r>
      <w:r w:rsidR="000F2208" w:rsidRPr="000F220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DĖL  PRITARIMO ŠILUTĖS H</w:t>
      </w:r>
      <w:r w:rsidR="0090138E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UGO</w:t>
      </w:r>
      <w:r w:rsidR="000F2208" w:rsidRPr="000F220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 ŠOJAUS MUZIEJAUS DALYVAVIMUI 2021</w:t>
      </w:r>
      <w:r w:rsidR="0090138E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–</w:t>
      </w:r>
      <w:r w:rsidR="000F2208" w:rsidRPr="000F220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2027 VI-A LATVIJOS</w:t>
      </w:r>
      <w:r w:rsidR="0090138E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–</w:t>
      </w:r>
      <w:r w:rsidR="000F2208" w:rsidRPr="000F220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LIETUVOS BENDRADARBIAVIMO PER SIENĄ PROGRAMOS PROJEKTE </w:t>
      </w:r>
      <w:r w:rsidR="000F2208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„PAVELDO HORIZONTAI: ŠVĖKŠN</w:t>
      </w:r>
      <w:r w:rsidR="004D0434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a</w:t>
      </w:r>
      <w:r w:rsidR="000F2208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 IR KULDYG</w:t>
      </w:r>
      <w:r w:rsidR="004D0434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a tada ir dabar</w:t>
      </w:r>
      <w:r w:rsidR="000F2208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“ (</w:t>
      </w:r>
      <w:r w:rsidR="0090138E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</w:t>
      </w:r>
      <w:r w:rsidR="000F2208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HERITAGE HORIZONS: ŠVĖKŠNA AND KULDIGA</w:t>
      </w:r>
      <w:r w:rsidR="004D0434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 then and now</w:t>
      </w:r>
      <w:r w:rsidR="000F2208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“)</w:t>
      </w:r>
      <w:r w:rsidR="00D948E7" w:rsidRPr="004D0434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“</w:t>
      </w:r>
    </w:p>
    <w:p w14:paraId="056FCC9E" w14:textId="77777777" w:rsidR="008B7803" w:rsidRDefault="008B7803" w:rsidP="008B7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3032498" w14:textId="77777777" w:rsidR="008B7803" w:rsidRPr="006A48CB" w:rsidRDefault="008B7803" w:rsidP="008B7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1A8E95D" w14:textId="58232B6C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202</w:t>
      </w:r>
      <w:r w:rsidR="000F2208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4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m. </w:t>
      </w:r>
      <w:r w:rsidR="000F2208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gegužės 13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d.</w:t>
      </w:r>
    </w:p>
    <w:p w14:paraId="380D7226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Šilutė</w:t>
      </w:r>
    </w:p>
    <w:p w14:paraId="76E0DBB7" w14:textId="77777777" w:rsidR="00FA229E" w:rsidRDefault="00FA229E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7C3DEC44" w14:textId="77777777" w:rsidR="008B7803" w:rsidRPr="00FA229E" w:rsidRDefault="008B7803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2B59F95D" w14:textId="77777777" w:rsidR="00FA229E" w:rsidRPr="00FA229E" w:rsidRDefault="00FA229E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tbl>
      <w:tblPr>
        <w:tblW w:w="9727" w:type="dxa"/>
        <w:tblInd w:w="-88" w:type="dxa"/>
        <w:tblLook w:val="04A0" w:firstRow="1" w:lastRow="0" w:firstColumn="1" w:lastColumn="0" w:noHBand="0" w:noVBand="1"/>
      </w:tblPr>
      <w:tblGrid>
        <w:gridCol w:w="9727"/>
      </w:tblGrid>
      <w:tr w:rsidR="00FA229E" w:rsidRPr="00FA229E" w14:paraId="500E5FEB" w14:textId="77777777" w:rsidTr="006E3836">
        <w:tc>
          <w:tcPr>
            <w:tcW w:w="9727" w:type="dxa"/>
            <w:shd w:val="clear" w:color="auto" w:fill="auto"/>
          </w:tcPr>
          <w:p w14:paraId="35C01E42" w14:textId="77777777" w:rsidR="00FA229E" w:rsidRPr="00FA229E" w:rsidRDefault="00FA229E" w:rsidP="00FA229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Parengto projekto tikslai ir uždaviniai:</w:t>
            </w:r>
          </w:p>
          <w:p w14:paraId="50CA243F" w14:textId="3506DC91" w:rsidR="000D631A" w:rsidRDefault="000F2208" w:rsidP="00283873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Šilutės rajono s</w:t>
            </w:r>
            <w:r w:rsidR="00FA229E" w:rsidRPr="00FA22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avivaldybės tarybai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(toliau – Taryba) pritarus 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Šilutės 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Hugo </w:t>
            </w:r>
            <w:proofErr w:type="spellStart"/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Šojaus</w:t>
            </w:r>
            <w:proofErr w:type="spellEnd"/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muziejaus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3873" w:rsidRP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dalyvavimui projekte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„Paveldo horizontai: Švėkšn</w:t>
            </w:r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</w:t>
            </w:r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ir Kuldyg</w:t>
            </w:r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 tada ir dabar</w:t>
            </w:r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“ (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Heritage</w:t>
            </w:r>
            <w:proofErr w:type="spellEnd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horizons</w:t>
            </w:r>
            <w:proofErr w:type="spellEnd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: Švėkšna </w:t>
            </w:r>
            <w:proofErr w:type="spellStart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and</w:t>
            </w:r>
            <w:proofErr w:type="spellEnd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Kuldiga</w:t>
            </w:r>
            <w:proofErr w:type="spellEnd"/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then</w:t>
            </w:r>
            <w:proofErr w:type="spellEnd"/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and</w:t>
            </w:r>
            <w:proofErr w:type="spellEnd"/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now</w:t>
            </w:r>
            <w:proofErr w:type="spellEnd"/>
            <w:r w:rsidRP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“)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Šilutės 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Hugo </w:t>
            </w:r>
            <w:proofErr w:type="spellStart"/>
            <w:r w:rsid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ojaus</w:t>
            </w:r>
            <w:proofErr w:type="spellEnd"/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muziejus</w:t>
            </w:r>
            <w:r w:rsid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kartu su </w:t>
            </w:r>
            <w:r w:rsidR="00283873" w:rsidRP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Kuldygos</w:t>
            </w:r>
            <w:r w:rsid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3873" w:rsidRP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savivaldyb</w:t>
            </w:r>
            <w:r w:rsid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(Latvija)</w:t>
            </w:r>
            <w:r w:rsid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teiks paraišką siek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dami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sutvarkyti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ir </w:t>
            </w:r>
            <w:proofErr w:type="spellStart"/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įveiklinti</w:t>
            </w:r>
            <w:proofErr w:type="spellEnd"/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Švėkšnos sinagogą ir </w:t>
            </w:r>
            <w:r w:rsid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konservuoti 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Kuld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y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goje </w:t>
            </w:r>
            <w:r w:rsid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vienintelį išlikusį Kuldygos viduramžių pilies objektą – rūsį.</w:t>
            </w:r>
          </w:p>
          <w:p w14:paraId="4A6FC687" w14:textId="781506FB" w:rsidR="00FA229E" w:rsidRPr="00283873" w:rsidRDefault="00FA229E" w:rsidP="00283873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Projekto tikslas –</w:t>
            </w:r>
            <w:r w:rsidR="00D83675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9C7F1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atkurti ir </w:t>
            </w:r>
            <w:proofErr w:type="spellStart"/>
            <w:r w:rsidR="009C7F1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įveiklinti</w:t>
            </w:r>
            <w:proofErr w:type="spellEnd"/>
            <w:r w:rsidR="009C7F1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kultūros paveldo objektus skatinant </w:t>
            </w:r>
            <w:proofErr w:type="spellStart"/>
            <w:r w:rsidR="009C7F1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tarpsienį</w:t>
            </w:r>
            <w:proofErr w:type="spellEnd"/>
            <w:r w:rsidR="009C7F1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bendradarbiavimą</w:t>
            </w:r>
            <w:r w:rsidR="000F220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ir kultūros paveldo objektų populiarinimą</w:t>
            </w:r>
            <w:r w:rsidR="009C7F1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0F41D22" w14:textId="6B9190E0" w:rsidR="006A48CB" w:rsidRPr="00FA229E" w:rsidRDefault="006A48CB" w:rsidP="006A48CB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9A55E62" w14:textId="77777777" w:rsidTr="006E3836">
        <w:trPr>
          <w:trHeight w:val="559"/>
        </w:trPr>
        <w:tc>
          <w:tcPr>
            <w:tcW w:w="9727" w:type="dxa"/>
            <w:shd w:val="clear" w:color="auto" w:fill="auto"/>
          </w:tcPr>
          <w:p w14:paraId="5282878C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57"/>
              </w:tabs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FA229E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  <w:t xml:space="preserve">Kaip šiuo metu yra sureguliuoti projekte aptarti klausimai. </w:t>
            </w:r>
          </w:p>
          <w:p w14:paraId="7AD88C9F" w14:textId="7099949D" w:rsidR="00CF0063" w:rsidRDefault="000F2208" w:rsidP="00FA229E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Tarybai pritarus bus rengiama 2021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2027 VI-A Latvijos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Lietuvos bendradarbiavimo per sieną programos (toliau – Programa)</w:t>
            </w:r>
            <w:r w:rsidR="00FA22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paraiška finansavimui gauti. Paraiška rengiama pagal Programos 2-o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jo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kvietimo 4-ą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jį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prioritetą. Šiuo metu </w:t>
            </w:r>
            <w:r w:rsidR="009C7F1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atnaujinama </w:t>
            </w:r>
            <w:r w:rsidR="009C7F18" w:rsidRP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Švėkšnos sinagogos kapitalinio projekto sąmata.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3575C999" w14:textId="747268BE" w:rsidR="00C340B8" w:rsidRDefault="00C340B8" w:rsidP="006A48CB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Projekto pagrindinės veiklos:</w:t>
            </w:r>
          </w:p>
          <w:p w14:paraId="1FFBBFCE" w14:textId="4B7B7403" w:rsidR="00C340B8" w:rsidRDefault="009C7F18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Švėkšnos sinagogos pastato kapitali</w:t>
            </w:r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 remontas;</w:t>
            </w:r>
          </w:p>
          <w:p w14:paraId="7565FF44" w14:textId="1B29EA4E" w:rsidR="007C3639" w:rsidRDefault="007C3639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Kuld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y</w:t>
            </w:r>
            <w:r w:rsidRP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goje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esančio </w:t>
            </w:r>
            <w:r w:rsidRP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vienintel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io</w:t>
            </w:r>
            <w:r w:rsidRP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išlikus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io</w:t>
            </w:r>
            <w:r w:rsidRP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Kuldygos viduramžių pilies objekt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o</w:t>
            </w:r>
            <w:r w:rsidRP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– rūs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o – konservavimas</w:t>
            </w:r>
            <w:r w:rsidR="003A5DE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;</w:t>
            </w:r>
          </w:p>
          <w:p w14:paraId="3F9E9DF1" w14:textId="320E73AD" w:rsidR="00C340B8" w:rsidRDefault="000F2208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Turistinių maršrutų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042D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inančių per Švėkšną ir Kuld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y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gą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populiarinimas</w:t>
            </w:r>
            <w:r w:rsidR="003A5DE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;</w:t>
            </w:r>
          </w:p>
          <w:p w14:paraId="7D413255" w14:textId="298AA13E" w:rsidR="00C340B8" w:rsidRDefault="007736A0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Tarpsienis</w:t>
            </w:r>
            <w:proofErr w:type="spellEnd"/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p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asikeitimas patirtimi </w:t>
            </w:r>
            <w:r w:rsidR="007C363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išsaugant ir </w:t>
            </w:r>
            <w:proofErr w:type="spellStart"/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įveiklinant</w:t>
            </w:r>
            <w:proofErr w:type="spellEnd"/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kultūros paveldo pastatus</w:t>
            </w:r>
            <w:r w:rsidR="000F220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;</w:t>
            </w:r>
          </w:p>
          <w:p w14:paraId="7873DC42" w14:textId="6F78764E" w:rsidR="000F2208" w:rsidRDefault="000F2208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Interaktyvios programėlės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leisiančios </w:t>
            </w:r>
            <w:r w:rsidRPr="004D043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nusikelti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iš vieno miesto į kitą</w:t>
            </w:r>
            <w:r w:rsidR="0090138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sukūrimas.</w:t>
            </w:r>
          </w:p>
          <w:p w14:paraId="0A64DC7A" w14:textId="5A6ADC55" w:rsidR="007736A0" w:rsidRDefault="007736A0" w:rsidP="007736A0">
            <w:pPr>
              <w:pStyle w:val="Sraopastraipa"/>
              <w:tabs>
                <w:tab w:val="left" w:pos="57"/>
              </w:tabs>
              <w:spacing w:after="0" w:line="240" w:lineRule="auto"/>
              <w:ind w:left="1015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  <w:p w14:paraId="50938291" w14:textId="14D521A0" w:rsidR="007736A0" w:rsidRPr="007736A0" w:rsidRDefault="007736A0" w:rsidP="007736A0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Pagrindinis projekto partneris – Šilutės </w:t>
            </w:r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Hugo </w:t>
            </w:r>
            <w:proofErr w:type="spellStart"/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Šojaus</w:t>
            </w:r>
            <w:proofErr w:type="spellEnd"/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muziejus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5B94E1C0" w14:textId="334CB755" w:rsidR="006A48CB" w:rsidRPr="00FA229E" w:rsidRDefault="006A48CB" w:rsidP="00C340B8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A96AB9C" w14:textId="77777777" w:rsidTr="006E3836">
        <w:tc>
          <w:tcPr>
            <w:tcW w:w="9727" w:type="dxa"/>
            <w:shd w:val="clear" w:color="auto" w:fill="auto"/>
          </w:tcPr>
          <w:p w14:paraId="5822DB6C" w14:textId="77777777" w:rsidR="00FA229E" w:rsidRPr="00FA229E" w:rsidRDefault="00FA229E" w:rsidP="00FA229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Kokių pozityvių rezultatų laukiama. </w:t>
            </w:r>
          </w:p>
          <w:p w14:paraId="102C4AA4" w14:textId="0A88BEBF" w:rsidR="00FA229E" w:rsidRDefault="007736A0" w:rsidP="006A48CB">
            <w:pPr>
              <w:suppressAutoHyphens/>
              <w:spacing w:after="0" w:line="240" w:lineRule="auto"/>
              <w:ind w:firstLine="684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Sutvarkyt</w:t>
            </w:r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ir </w:t>
            </w:r>
            <w:proofErr w:type="spellStart"/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įveiklinti</w:t>
            </w:r>
            <w:proofErr w:type="spellEnd"/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kultūros paveldo </w:t>
            </w:r>
            <w:r w:rsidR="0041469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objektai Švėkšnoje ir Kuldygoje.</w:t>
            </w:r>
          </w:p>
          <w:p w14:paraId="1A604729" w14:textId="431ED05D" w:rsidR="006A48CB" w:rsidRPr="00FA229E" w:rsidRDefault="006A48CB" w:rsidP="00FA229E">
            <w:pPr>
              <w:suppressAutoHyphens/>
              <w:spacing w:after="0" w:line="240" w:lineRule="auto"/>
              <w:ind w:firstLine="36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2D877E63" w14:textId="77777777" w:rsidTr="006E3836">
        <w:tc>
          <w:tcPr>
            <w:tcW w:w="9727" w:type="dxa"/>
            <w:shd w:val="clear" w:color="auto" w:fill="auto"/>
          </w:tcPr>
          <w:p w14:paraId="014276F6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Galimos neigiamos priimto projekto pasekmės ir kokių priemonių reikėtų imtis, kad tokių pasekmių būtų išvengta.</w:t>
            </w:r>
          </w:p>
          <w:p w14:paraId="6DDA756F" w14:textId="77777777" w:rsidR="00FA229E" w:rsidRPr="00FA229E" w:rsidRDefault="00FA229E" w:rsidP="00FA229E">
            <w:pPr>
              <w:tabs>
                <w:tab w:val="left" w:pos="720"/>
              </w:tabs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Nenumatoma.</w:t>
            </w:r>
          </w:p>
          <w:p w14:paraId="70D81AC2" w14:textId="77777777" w:rsidR="00FA229E" w:rsidRPr="00FA229E" w:rsidRDefault="00FA229E" w:rsidP="00FA229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659F47F5" w14:textId="77777777" w:rsidTr="006E3836">
        <w:tc>
          <w:tcPr>
            <w:tcW w:w="9727" w:type="dxa"/>
            <w:shd w:val="clear" w:color="auto" w:fill="auto"/>
          </w:tcPr>
          <w:p w14:paraId="420863D2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56EA508B" w14:textId="77777777" w:rsidR="00FA229E" w:rsidRPr="00FA229E" w:rsidRDefault="00FA229E" w:rsidP="00FA229E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lt-LT" w:bidi="hi-IN"/>
              </w:rPr>
              <w:t>Netaikoma.</w:t>
            </w:r>
          </w:p>
          <w:p w14:paraId="7620DBDB" w14:textId="77777777" w:rsidR="00FA229E" w:rsidRPr="00FA229E" w:rsidRDefault="00FA229E" w:rsidP="00FA229E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674A4BC2" w14:textId="77777777" w:rsidTr="006E3836">
        <w:tc>
          <w:tcPr>
            <w:tcW w:w="9727" w:type="dxa"/>
            <w:shd w:val="clear" w:color="auto" w:fill="auto"/>
          </w:tcPr>
          <w:p w14:paraId="2A987552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lastRenderedPageBreak/>
              <w:t>Jeigu reikia atlikti sprendimo projekto antikorupcinį vertinimą, sprendžia projekto rengėjas, atsižvelgdamas į Teisės aktų projektų antikorupcinio vertinimo taisykles</w:t>
            </w:r>
            <w:r w:rsidRPr="00FA229E">
              <w:rPr>
                <w:rFonts w:ascii="Times New Roman" w:eastAsia="SimSun;宋体" w:hAnsi="Times New Roman" w:cs="Arial"/>
                <w:b/>
                <w:bCs/>
                <w:i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35D9932C" w14:textId="77777777" w:rsidR="00FA229E" w:rsidRPr="00FA229E" w:rsidRDefault="00FA229E" w:rsidP="00FA229E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Antikorupcinis vertinimas nereikalingas.</w:t>
            </w:r>
          </w:p>
          <w:p w14:paraId="76EFC44A" w14:textId="77777777" w:rsidR="00FA229E" w:rsidRPr="00FA229E" w:rsidRDefault="00FA229E" w:rsidP="00FA229E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D3EFEC8" w14:textId="77777777" w:rsidTr="006E3836">
        <w:tc>
          <w:tcPr>
            <w:tcW w:w="9727" w:type="dxa"/>
            <w:shd w:val="clear" w:color="auto" w:fill="auto"/>
          </w:tcPr>
          <w:p w14:paraId="28493B80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  <w:tab w:val="left" w:pos="8877"/>
                <w:tab w:val="left" w:pos="9019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Projekto rengimo metu gauti specialistų vertinimai ir išvados, ekonominiai apskaičiavimai (sąmatos) ir konkretūs finansavimo šaltiniai.</w:t>
            </w:r>
          </w:p>
          <w:p w14:paraId="56800C69" w14:textId="1657999A" w:rsidR="007736A0" w:rsidRPr="00283A62" w:rsidRDefault="00283A62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Programos lėšos</w:t>
            </w:r>
            <w:r w:rsidR="006A48CB"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600 000,00</w:t>
            </w:r>
            <w:r w:rsidR="006A48CB"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Eur, </w:t>
            </w:r>
          </w:p>
          <w:p w14:paraId="32F2BBD6" w14:textId="1C95AE54" w:rsidR="00283A62" w:rsidRDefault="00414693" w:rsidP="00283A62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Šilutės Hugo </w:t>
            </w:r>
            <w:proofErr w:type="spellStart"/>
            <w:r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Šojaus</w:t>
            </w:r>
            <w:proofErr w:type="spellEnd"/>
            <w:r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muziejaus </w:t>
            </w:r>
            <w:r w:rsidR="00283A62"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Programos lėšų </w:t>
            </w:r>
            <w:r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biudžetas</w:t>
            </w:r>
            <w:r w:rsidR="00283A62" w:rsidRPr="00283A6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(ERPF)</w:t>
            </w:r>
            <w:r w:rsidR="007736A0" w:rsidRPr="00283A62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283A62" w:rsidRPr="00283A62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–</w:t>
            </w:r>
            <w:r w:rsidR="007736A0" w:rsidRPr="00283A62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283A62" w:rsidRPr="00283A62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318 000</w:t>
            </w:r>
            <w:r w:rsidR="006A48CB" w:rsidRPr="00283A62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Eur</w:t>
            </w:r>
            <w:r w:rsidR="0090138E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7736A0" w:rsidRPr="00283A62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(53 proc.)</w:t>
            </w:r>
            <w:r w:rsidR="0090138E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.</w:t>
            </w:r>
          </w:p>
          <w:p w14:paraId="7EFAA2D7" w14:textId="7AE7BC69" w:rsidR="007736A0" w:rsidRPr="00283A62" w:rsidRDefault="007736A0" w:rsidP="00283A62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 w:rsidRPr="004D0434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Savivaldybės biudžeto lėšos – </w:t>
            </w:r>
            <w:r w:rsidR="00283A62" w:rsidRPr="004D0434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ne mažiau nei 150 000,00</w:t>
            </w:r>
            <w:r w:rsidRPr="004D0434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Eur </w:t>
            </w:r>
            <w:r w:rsidR="00283A62" w:rsidRPr="004D0434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(Švėkšnos sinagogos darbų sąmata – 389 000,00 Eur; kitos projekto veiklos (programėlės kūrimas, maršrutų rinkodaros priemonės, renginiai</w:t>
            </w:r>
            <w:r w:rsidR="00A02809" w:rsidRPr="004D0434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ir kt.</w:t>
            </w:r>
            <w:r w:rsidR="00283A62" w:rsidRPr="004D0434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) – 79 000,00 Eur.</w:t>
            </w:r>
          </w:p>
          <w:p w14:paraId="47DDB90A" w14:textId="77777777" w:rsidR="007736A0" w:rsidRDefault="007736A0" w:rsidP="00283A62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</w:p>
          <w:p w14:paraId="0AC52417" w14:textId="354D8097" w:rsidR="007736A0" w:rsidRPr="007736A0" w:rsidRDefault="007736A0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Kuldygos</w:t>
            </w:r>
            <w:r w:rsidR="009F7DF4"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savivaldybės</w:t>
            </w:r>
            <w:r w:rsidR="009F7DF4"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(Latvija)</w:t>
            </w:r>
            <w:r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3A62"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Programos </w:t>
            </w:r>
            <w:r w:rsidR="00414693"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biudžetas</w:t>
            </w:r>
            <w:r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3A62"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(ERPF) </w:t>
            </w:r>
            <w:r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– </w:t>
            </w:r>
            <w:r w:rsidR="00283A62"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282 000,00</w:t>
            </w:r>
            <w:r w:rsidRPr="00283A62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Eur (47 proc.)</w:t>
            </w:r>
            <w:r w:rsidR="0090138E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36D3FA88" w14:textId="4971E4AB" w:rsidR="006A48CB" w:rsidRPr="00FA229E" w:rsidRDefault="006A48CB" w:rsidP="007736A0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6A48CB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229E" w:rsidRPr="00FA229E" w14:paraId="5D8963AD" w14:textId="77777777" w:rsidTr="006E3836">
        <w:tc>
          <w:tcPr>
            <w:tcW w:w="9727" w:type="dxa"/>
            <w:shd w:val="clear" w:color="auto" w:fill="auto"/>
          </w:tcPr>
          <w:p w14:paraId="74C13484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Projekto autorius ar autorių grupė. </w:t>
            </w:r>
          </w:p>
          <w:p w14:paraId="3308A184" w14:textId="15ECBE85" w:rsidR="00FA229E" w:rsidRPr="00FA229E" w:rsidRDefault="00FA229E" w:rsidP="004D0434">
            <w:pPr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</w:t>
            </w:r>
            <w:r w:rsidRPr="00FA229E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Planavimo ir plėtros skyriaus </w:t>
            </w:r>
            <w:r w:rsidR="00CF0063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viešojo administravimo institucijos specialistė </w:t>
            </w:r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Simona </w:t>
            </w:r>
            <w:proofErr w:type="spellStart"/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Bokštaitė-Dryžienė</w:t>
            </w:r>
            <w:proofErr w:type="spellEnd"/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6D291EA4" w14:textId="77777777" w:rsidR="00FA229E" w:rsidRPr="00FA229E" w:rsidRDefault="00FA229E" w:rsidP="00FA22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229E" w:rsidRPr="00FA229E" w14:paraId="073DC4F2" w14:textId="77777777" w:rsidTr="006E3836">
        <w:tc>
          <w:tcPr>
            <w:tcW w:w="9727" w:type="dxa"/>
            <w:shd w:val="clear" w:color="auto" w:fill="auto"/>
          </w:tcPr>
          <w:p w14:paraId="7AC1C57A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Reikšminiai projekto žodžiai, kurių reikia šiam projektui įtraukti į kompiuterinę paieškos sistemą.</w:t>
            </w:r>
          </w:p>
          <w:p w14:paraId="76C1CD28" w14:textId="1C367DED" w:rsidR="00FA229E" w:rsidRPr="00FA229E" w:rsidRDefault="00392E34" w:rsidP="00FA229E">
            <w:pPr>
              <w:tabs>
                <w:tab w:val="left" w:pos="720"/>
              </w:tabs>
              <w:suppressAutoHyphens/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Heritage</w:t>
            </w:r>
            <w:proofErr w:type="spellEnd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horizons</w:t>
            </w:r>
            <w:proofErr w:type="spellEnd"/>
          </w:p>
          <w:p w14:paraId="03E870D8" w14:textId="77777777" w:rsidR="00FA229E" w:rsidRPr="00FA229E" w:rsidRDefault="00FA229E" w:rsidP="00FA229E">
            <w:pPr>
              <w:tabs>
                <w:tab w:val="left" w:pos="720"/>
              </w:tabs>
              <w:suppressAutoHyphens/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0499D6F" w14:textId="77777777" w:rsidTr="006E3836">
        <w:trPr>
          <w:trHeight w:val="1258"/>
        </w:trPr>
        <w:tc>
          <w:tcPr>
            <w:tcW w:w="9727" w:type="dxa"/>
            <w:shd w:val="clear" w:color="auto" w:fill="auto"/>
          </w:tcPr>
          <w:p w14:paraId="67B92D69" w14:textId="77777777" w:rsidR="00FA229E" w:rsidRPr="00FA229E" w:rsidRDefault="00FA229E" w:rsidP="00FA229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Kiti, autorių nuomone, reikalingi pagrindimai ir paaiškinimai.</w:t>
            </w:r>
          </w:p>
          <w:p w14:paraId="46100982" w14:textId="77777777" w:rsidR="00FA229E" w:rsidRPr="00FA229E" w:rsidRDefault="00FA229E" w:rsidP="00FA229E">
            <w:pPr>
              <w:tabs>
                <w:tab w:val="left" w:pos="0"/>
                <w:tab w:val="left" w:pos="576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Nėra.</w:t>
            </w:r>
          </w:p>
        </w:tc>
      </w:tr>
      <w:tr w:rsidR="00FA229E" w:rsidRPr="00FA229E" w14:paraId="006CAE61" w14:textId="77777777" w:rsidTr="006E3836">
        <w:trPr>
          <w:trHeight w:val="1258"/>
        </w:trPr>
        <w:tc>
          <w:tcPr>
            <w:tcW w:w="9727" w:type="dxa"/>
            <w:shd w:val="clear" w:color="auto" w:fill="auto"/>
          </w:tcPr>
          <w:p w14:paraId="5329AA07" w14:textId="364A7E66" w:rsidR="0090138E" w:rsidRPr="004D0434" w:rsidRDefault="0090138E" w:rsidP="008B7803">
            <w:pPr>
              <w:tabs>
                <w:tab w:val="left" w:pos="1870"/>
              </w:tabs>
              <w:rPr>
                <w:rFonts w:ascii="Times New Roman" w:eastAsia="SimSun;宋体" w:hAnsi="Times New Roman" w:cs="Arial"/>
                <w:sz w:val="24"/>
                <w:szCs w:val="24"/>
                <w:lang w:eastAsia="zh-CN" w:bidi="hi-IN"/>
              </w:rPr>
            </w:pPr>
          </w:p>
        </w:tc>
      </w:tr>
    </w:tbl>
    <w:p w14:paraId="646A7EED" w14:textId="77777777" w:rsidR="00FA229E" w:rsidRPr="00FA229E" w:rsidRDefault="00FA229E" w:rsidP="00FA229E">
      <w:pPr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</w:p>
    <w:tbl>
      <w:tblPr>
        <w:tblW w:w="10140" w:type="dxa"/>
        <w:tblInd w:w="-109" w:type="dxa"/>
        <w:tblLook w:val="04A0" w:firstRow="1" w:lastRow="0" w:firstColumn="1" w:lastColumn="0" w:noHBand="0" w:noVBand="1"/>
      </w:tblPr>
      <w:tblGrid>
        <w:gridCol w:w="10140"/>
      </w:tblGrid>
      <w:tr w:rsidR="00FA229E" w:rsidRPr="00FA229E" w14:paraId="24783134" w14:textId="77777777" w:rsidTr="006E3836">
        <w:trPr>
          <w:trHeight w:val="116"/>
        </w:trPr>
        <w:tc>
          <w:tcPr>
            <w:tcW w:w="10140" w:type="dxa"/>
            <w:shd w:val="clear" w:color="auto" w:fill="auto"/>
          </w:tcPr>
          <w:p w14:paraId="76E57A2A" w14:textId="77777777" w:rsidR="006F76C2" w:rsidRDefault="00FA229E" w:rsidP="00FA229E">
            <w:pPr>
              <w:tabs>
                <w:tab w:val="left" w:pos="7371"/>
                <w:tab w:val="left" w:pos="7513"/>
              </w:tabs>
              <w:suppressAutoHyphens/>
              <w:spacing w:after="0" w:line="240" w:lineRule="auto"/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Planavimo ir plėtros skyriaus </w:t>
            </w:r>
          </w:p>
          <w:p w14:paraId="64943312" w14:textId="5453B7F9" w:rsidR="00FA229E" w:rsidRPr="00FA229E" w:rsidRDefault="00FA229E" w:rsidP="00FA229E">
            <w:pPr>
              <w:tabs>
                <w:tab w:val="left" w:pos="7371"/>
                <w:tab w:val="left" w:pos="7513"/>
              </w:tabs>
              <w:suppressAutoHyphens/>
              <w:spacing w:after="0" w:line="240" w:lineRule="auto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v</w:t>
            </w:r>
            <w:r w:rsidR="006F76C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iešojo administravimo institucijos specialistė</w:t>
            </w: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                       </w:t>
            </w:r>
            <w:r w:rsidR="006F76C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</w:t>
            </w: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A253B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Simona </w:t>
            </w:r>
            <w:proofErr w:type="spellStart"/>
            <w:r w:rsidR="00A253B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Bokštaitė-Dryžienė</w:t>
            </w:r>
            <w:proofErr w:type="spellEnd"/>
          </w:p>
        </w:tc>
      </w:tr>
    </w:tbl>
    <w:p w14:paraId="32044E71" w14:textId="77777777" w:rsidR="00FA229E" w:rsidRPr="00FA229E" w:rsidRDefault="00FA229E" w:rsidP="00FA229E">
      <w:pPr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</w:p>
    <w:p w14:paraId="6A420184" w14:textId="77777777" w:rsidR="00FA229E" w:rsidRPr="00FA229E" w:rsidRDefault="00FA229E" w:rsidP="00FA2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11533" w14:textId="77777777" w:rsidR="00FA229E" w:rsidRPr="00FA229E" w:rsidRDefault="00FA229E" w:rsidP="00FA2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F71654" w14:textId="77777777" w:rsidR="004D77B5" w:rsidRDefault="004D77B5"/>
    <w:sectPr w:rsidR="004D77B5">
      <w:headerReference w:type="first" r:id="rId7"/>
      <w:footerReference w:type="first" r:id="rId8"/>
      <w:pgSz w:w="11907" w:h="16840" w:code="9"/>
      <w:pgMar w:top="1134" w:right="567" w:bottom="1134" w:left="1701" w:header="1077" w:footer="73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AD59A" w14:textId="77777777" w:rsidR="00ED2A23" w:rsidRDefault="00ED2A23">
      <w:pPr>
        <w:spacing w:after="0" w:line="240" w:lineRule="auto"/>
      </w:pPr>
      <w:r>
        <w:separator/>
      </w:r>
    </w:p>
  </w:endnote>
  <w:endnote w:type="continuationSeparator" w:id="0">
    <w:p w14:paraId="5658BD11" w14:textId="77777777" w:rsidR="00ED2A23" w:rsidRDefault="00ED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85A9" w14:textId="77777777" w:rsidR="006E320E" w:rsidRPr="00266101" w:rsidRDefault="006E320E" w:rsidP="00266101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533C5" w14:textId="77777777" w:rsidR="00ED2A23" w:rsidRDefault="00ED2A23">
      <w:pPr>
        <w:spacing w:after="0" w:line="240" w:lineRule="auto"/>
      </w:pPr>
      <w:r>
        <w:separator/>
      </w:r>
    </w:p>
  </w:footnote>
  <w:footnote w:type="continuationSeparator" w:id="0">
    <w:p w14:paraId="5009FAAF" w14:textId="77777777" w:rsidR="00ED2A23" w:rsidRDefault="00ED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FCC0" w14:textId="77777777" w:rsidR="006E320E" w:rsidRDefault="006E320E" w:rsidP="00AF1D3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003A8"/>
    <w:multiLevelType w:val="hybridMultilevel"/>
    <w:tmpl w:val="3D6CB8A0"/>
    <w:lvl w:ilvl="0" w:tplc="5FBAE100">
      <w:start w:val="1"/>
      <w:numFmt w:val="decimal"/>
      <w:lvlText w:val="%1)"/>
      <w:lvlJc w:val="left"/>
      <w:pPr>
        <w:ind w:left="1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5" w:hanging="360"/>
      </w:pPr>
    </w:lvl>
    <w:lvl w:ilvl="2" w:tplc="0427001B" w:tentative="1">
      <w:start w:val="1"/>
      <w:numFmt w:val="lowerRoman"/>
      <w:lvlText w:val="%3."/>
      <w:lvlJc w:val="right"/>
      <w:pPr>
        <w:ind w:left="2455" w:hanging="180"/>
      </w:pPr>
    </w:lvl>
    <w:lvl w:ilvl="3" w:tplc="0427000F" w:tentative="1">
      <w:start w:val="1"/>
      <w:numFmt w:val="decimal"/>
      <w:lvlText w:val="%4."/>
      <w:lvlJc w:val="left"/>
      <w:pPr>
        <w:ind w:left="3175" w:hanging="360"/>
      </w:pPr>
    </w:lvl>
    <w:lvl w:ilvl="4" w:tplc="04270019" w:tentative="1">
      <w:start w:val="1"/>
      <w:numFmt w:val="lowerLetter"/>
      <w:lvlText w:val="%5."/>
      <w:lvlJc w:val="left"/>
      <w:pPr>
        <w:ind w:left="3895" w:hanging="360"/>
      </w:pPr>
    </w:lvl>
    <w:lvl w:ilvl="5" w:tplc="0427001B" w:tentative="1">
      <w:start w:val="1"/>
      <w:numFmt w:val="lowerRoman"/>
      <w:lvlText w:val="%6."/>
      <w:lvlJc w:val="right"/>
      <w:pPr>
        <w:ind w:left="4615" w:hanging="180"/>
      </w:pPr>
    </w:lvl>
    <w:lvl w:ilvl="6" w:tplc="0427000F" w:tentative="1">
      <w:start w:val="1"/>
      <w:numFmt w:val="decimal"/>
      <w:lvlText w:val="%7."/>
      <w:lvlJc w:val="left"/>
      <w:pPr>
        <w:ind w:left="5335" w:hanging="360"/>
      </w:pPr>
    </w:lvl>
    <w:lvl w:ilvl="7" w:tplc="04270019" w:tentative="1">
      <w:start w:val="1"/>
      <w:numFmt w:val="lowerLetter"/>
      <w:lvlText w:val="%8."/>
      <w:lvlJc w:val="left"/>
      <w:pPr>
        <w:ind w:left="6055" w:hanging="360"/>
      </w:pPr>
    </w:lvl>
    <w:lvl w:ilvl="8" w:tplc="0427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53AD5EA7"/>
    <w:multiLevelType w:val="multilevel"/>
    <w:tmpl w:val="E6A2998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6975">
    <w:abstractNumId w:val="1"/>
  </w:num>
  <w:num w:numId="2" w16cid:durableId="13245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E"/>
    <w:rsid w:val="000D631A"/>
    <w:rsid w:val="000F2208"/>
    <w:rsid w:val="002042DD"/>
    <w:rsid w:val="002350E5"/>
    <w:rsid w:val="00283873"/>
    <w:rsid w:val="00283A62"/>
    <w:rsid w:val="002919F5"/>
    <w:rsid w:val="00303262"/>
    <w:rsid w:val="00392E34"/>
    <w:rsid w:val="003A5DEF"/>
    <w:rsid w:val="00404C9B"/>
    <w:rsid w:val="00414693"/>
    <w:rsid w:val="00481090"/>
    <w:rsid w:val="004D0434"/>
    <w:rsid w:val="004D77B5"/>
    <w:rsid w:val="005068A1"/>
    <w:rsid w:val="00640192"/>
    <w:rsid w:val="00645FFC"/>
    <w:rsid w:val="00655285"/>
    <w:rsid w:val="006A48CB"/>
    <w:rsid w:val="006E320E"/>
    <w:rsid w:val="006F76C2"/>
    <w:rsid w:val="0075251B"/>
    <w:rsid w:val="007736A0"/>
    <w:rsid w:val="0078348F"/>
    <w:rsid w:val="007C3639"/>
    <w:rsid w:val="00814A0B"/>
    <w:rsid w:val="00830033"/>
    <w:rsid w:val="008B7803"/>
    <w:rsid w:val="008F6831"/>
    <w:rsid w:val="0090138E"/>
    <w:rsid w:val="00933C59"/>
    <w:rsid w:val="009C7F18"/>
    <w:rsid w:val="009F7DF4"/>
    <w:rsid w:val="00A02809"/>
    <w:rsid w:val="00A253BE"/>
    <w:rsid w:val="00AC4378"/>
    <w:rsid w:val="00B07938"/>
    <w:rsid w:val="00B33EA8"/>
    <w:rsid w:val="00B62F90"/>
    <w:rsid w:val="00BC0E67"/>
    <w:rsid w:val="00C340B8"/>
    <w:rsid w:val="00CF0063"/>
    <w:rsid w:val="00D83675"/>
    <w:rsid w:val="00D948E7"/>
    <w:rsid w:val="00DD5186"/>
    <w:rsid w:val="00DF15F6"/>
    <w:rsid w:val="00E031B9"/>
    <w:rsid w:val="00E311A4"/>
    <w:rsid w:val="00E72839"/>
    <w:rsid w:val="00ED2A23"/>
    <w:rsid w:val="00F962CB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0E8"/>
  <w15:chartTrackingRefBased/>
  <w15:docId w15:val="{D258C65B-4832-4182-96F3-488F9F5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A229E"/>
  </w:style>
  <w:style w:type="paragraph" w:styleId="Porat">
    <w:name w:val="footer"/>
    <w:basedOn w:val="prastasis"/>
    <w:link w:val="PoratDiagrama"/>
    <w:uiPriority w:val="99"/>
    <w:semiHidden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A229E"/>
  </w:style>
  <w:style w:type="paragraph" w:styleId="Sraopastraipa">
    <w:name w:val="List Paragraph"/>
    <w:basedOn w:val="prastasis"/>
    <w:uiPriority w:val="34"/>
    <w:qFormat/>
    <w:rsid w:val="00C340B8"/>
    <w:pPr>
      <w:ind w:left="720"/>
      <w:contextualSpacing/>
    </w:pPr>
  </w:style>
  <w:style w:type="paragraph" w:styleId="Pataisymai">
    <w:name w:val="Revision"/>
    <w:hidden/>
    <w:uiPriority w:val="99"/>
    <w:semiHidden/>
    <w:rsid w:val="00901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DF78B4-8E7A-4CEC-BE68-85558B0FAC7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Asta Jagelavičienė</cp:lastModifiedBy>
  <cp:revision>9</cp:revision>
  <dcterms:created xsi:type="dcterms:W3CDTF">2024-05-13T10:47:00Z</dcterms:created>
  <dcterms:modified xsi:type="dcterms:W3CDTF">2024-05-17T07:34:00Z</dcterms:modified>
</cp:coreProperties>
</file>