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44C1376" w:rsidR="00DD1F44" w:rsidRDefault="00DD1F44" w:rsidP="00DD1F44">
      <w:pPr>
        <w:jc w:val="center"/>
        <w:rPr>
          <w:b/>
          <w:bCs/>
          <w:caps/>
        </w:rPr>
      </w:pPr>
      <w:r>
        <w:rPr>
          <w:b/>
          <w:bCs/>
          <w:caps/>
        </w:rPr>
        <w:t>Dėl TARYBOS sprendimo „</w:t>
      </w:r>
      <w:r w:rsidR="00023226" w:rsidRPr="00023226">
        <w:rPr>
          <w:b/>
          <w:bCs/>
          <w:noProof/>
        </w:rPr>
        <w:t xml:space="preserve">DĖL PRITARIMO </w:t>
      </w:r>
      <w:r w:rsidR="00E409F4">
        <w:rPr>
          <w:b/>
          <w:bCs/>
          <w:noProof/>
        </w:rPr>
        <w:t xml:space="preserve">ĮGYVENDINTI </w:t>
      </w:r>
      <w:r w:rsidR="00023226" w:rsidRPr="00023226">
        <w:rPr>
          <w:b/>
          <w:bCs/>
          <w:noProof/>
        </w:rPr>
        <w:t>PROJEKT</w:t>
      </w:r>
      <w:r w:rsidR="00E409F4">
        <w:rPr>
          <w:b/>
          <w:bCs/>
          <w:noProof/>
        </w:rPr>
        <w:t>Ą</w:t>
      </w:r>
      <w:r w:rsidR="00023226" w:rsidRPr="00023226">
        <w:rPr>
          <w:b/>
          <w:bCs/>
          <w:noProof/>
        </w:rPr>
        <w:t xml:space="preserve"> „SVEIKATOS </w:t>
      </w:r>
      <w:r w:rsidR="00B144DA">
        <w:rPr>
          <w:b/>
          <w:bCs/>
          <w:noProof/>
        </w:rPr>
        <w:t>CENTRŲ VEIKLOS MODELIO DIEGIMAS</w:t>
      </w:r>
      <w:r w:rsidR="00023226" w:rsidRPr="00023226">
        <w:rPr>
          <w:b/>
          <w:bCs/>
          <w:noProof/>
        </w:rPr>
        <w:t xml:space="preserve"> ŠILUTĖS RAJONO SAVIVALDYBĖJE</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46472836" w:rsidR="00DD1F44" w:rsidRPr="008E22C6" w:rsidRDefault="00C62447" w:rsidP="00DD1F44">
      <w:pPr>
        <w:tabs>
          <w:tab w:val="left" w:pos="567"/>
        </w:tabs>
        <w:jc w:val="center"/>
      </w:pPr>
      <w:r w:rsidRPr="008E22C6">
        <w:t>202</w:t>
      </w:r>
      <w:r w:rsidR="00C87A55">
        <w:t>4</w:t>
      </w:r>
      <w:r w:rsidRPr="008E22C6">
        <w:t xml:space="preserve"> </w:t>
      </w:r>
      <w:r w:rsidR="00D56540" w:rsidRPr="008E22C6">
        <w:t xml:space="preserve">m. </w:t>
      </w:r>
      <w:r w:rsidR="00B144DA">
        <w:t>liepos</w:t>
      </w:r>
      <w:r w:rsidR="00AC6537">
        <w:t xml:space="preserve"> </w:t>
      </w:r>
      <w:r w:rsidR="00B144DA">
        <w:t>9</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BD20409" w14:textId="6B743215" w:rsidR="00023226" w:rsidRPr="00023226" w:rsidRDefault="00023226" w:rsidP="00023226">
            <w:pPr>
              <w:tabs>
                <w:tab w:val="left" w:pos="596"/>
                <w:tab w:val="left" w:pos="880"/>
                <w:tab w:val="left" w:pos="8441"/>
              </w:tabs>
              <w:ind w:right="-34" w:firstLine="589"/>
              <w:jc w:val="both"/>
              <w:rPr>
                <w:color w:val="000000"/>
                <w:szCs w:val="24"/>
                <w:shd w:val="clear" w:color="auto" w:fill="FFFFFF"/>
                <w:lang w:eastAsia="lt-LT"/>
              </w:rPr>
            </w:pPr>
            <w:r w:rsidRPr="00023226">
              <w:rPr>
                <w:color w:val="000000"/>
                <w:szCs w:val="24"/>
                <w:shd w:val="clear" w:color="auto" w:fill="FFFFFF"/>
                <w:lang w:eastAsia="lt-LT"/>
              </w:rPr>
              <w:t>Sprendimo projektas parengtas siekiant gauti finansavimą ir įgyvendinti projektą „</w:t>
            </w:r>
            <w:r w:rsidR="00E72BE5">
              <w:rPr>
                <w:color w:val="000000"/>
                <w:szCs w:val="24"/>
                <w:shd w:val="clear" w:color="auto" w:fill="FFFFFF"/>
                <w:lang w:eastAsia="lt-LT"/>
              </w:rPr>
              <w:t>S</w:t>
            </w:r>
            <w:r w:rsidRPr="00023226">
              <w:rPr>
                <w:color w:val="000000"/>
                <w:szCs w:val="24"/>
                <w:shd w:val="clear" w:color="auto" w:fill="FFFFFF"/>
                <w:lang w:eastAsia="lt-LT"/>
              </w:rPr>
              <w:t xml:space="preserve">veikatos </w:t>
            </w:r>
            <w:r w:rsidR="00E72BE5">
              <w:rPr>
                <w:color w:val="000000"/>
                <w:szCs w:val="24"/>
                <w:shd w:val="clear" w:color="auto" w:fill="FFFFFF"/>
                <w:lang w:eastAsia="lt-LT"/>
              </w:rPr>
              <w:t>centrų veiklos modelio diegimas</w:t>
            </w:r>
            <w:r>
              <w:rPr>
                <w:color w:val="000000"/>
                <w:szCs w:val="24"/>
                <w:shd w:val="clear" w:color="auto" w:fill="FFFFFF"/>
                <w:lang w:eastAsia="lt-LT"/>
              </w:rPr>
              <w:t xml:space="preserve"> Šilutės rajono savivaldybėje</w:t>
            </w:r>
            <w:r w:rsidRPr="00023226">
              <w:rPr>
                <w:color w:val="000000"/>
                <w:szCs w:val="24"/>
                <w:shd w:val="clear" w:color="auto" w:fill="FFFFFF"/>
                <w:lang w:eastAsia="lt-LT"/>
              </w:rPr>
              <w:t>“</w:t>
            </w:r>
            <w:r>
              <w:rPr>
                <w:color w:val="000000"/>
                <w:szCs w:val="24"/>
                <w:shd w:val="clear" w:color="auto" w:fill="FFFFFF"/>
                <w:lang w:eastAsia="lt-LT"/>
              </w:rPr>
              <w:t xml:space="preserve"> (toliau – Projektas)</w:t>
            </w:r>
            <w:r w:rsidRPr="00023226">
              <w:rPr>
                <w:color w:val="000000"/>
                <w:szCs w:val="24"/>
                <w:shd w:val="clear" w:color="auto" w:fill="FFFFFF"/>
                <w:lang w:eastAsia="lt-LT"/>
              </w:rPr>
              <w:t>. Sprendimo projekto tikslas:</w:t>
            </w:r>
          </w:p>
          <w:p w14:paraId="52F1A097" w14:textId="09263FEE" w:rsidR="00023226" w:rsidRDefault="00023226" w:rsidP="00023226">
            <w:pPr>
              <w:tabs>
                <w:tab w:val="left" w:pos="596"/>
                <w:tab w:val="left" w:pos="880"/>
                <w:tab w:val="left" w:pos="8441"/>
              </w:tabs>
              <w:ind w:right="-34" w:firstLine="589"/>
              <w:jc w:val="both"/>
              <w:rPr>
                <w:color w:val="000000"/>
                <w:szCs w:val="24"/>
                <w:shd w:val="clear" w:color="auto" w:fill="FFFFFF"/>
                <w:lang w:eastAsia="lt-LT"/>
              </w:rPr>
            </w:pPr>
            <w:r w:rsidRPr="00023226">
              <w:rPr>
                <w:color w:val="000000"/>
                <w:szCs w:val="24"/>
                <w:shd w:val="clear" w:color="auto" w:fill="FFFFFF"/>
                <w:lang w:eastAsia="lt-LT"/>
              </w:rPr>
              <w:t>–</w:t>
            </w:r>
            <w:r w:rsidRPr="00023226">
              <w:rPr>
                <w:color w:val="000000"/>
                <w:szCs w:val="24"/>
                <w:shd w:val="clear" w:color="auto" w:fill="FFFFFF"/>
                <w:lang w:eastAsia="lt-LT"/>
              </w:rPr>
              <w:tab/>
              <w:t xml:space="preserve">pritarti </w:t>
            </w:r>
            <w:r>
              <w:rPr>
                <w:color w:val="000000"/>
                <w:szCs w:val="24"/>
                <w:shd w:val="clear" w:color="auto" w:fill="FFFFFF"/>
                <w:lang w:eastAsia="lt-LT"/>
              </w:rPr>
              <w:t>P</w:t>
            </w:r>
            <w:r w:rsidRPr="00023226">
              <w:rPr>
                <w:color w:val="000000"/>
                <w:szCs w:val="24"/>
                <w:shd w:val="clear" w:color="auto" w:fill="FFFFFF"/>
                <w:lang w:eastAsia="lt-LT"/>
              </w:rPr>
              <w:t>rojekto  rengimui ir įgyvendinimui bei partnerystės sutarties projektui;</w:t>
            </w:r>
          </w:p>
          <w:p w14:paraId="3B2F6D06" w14:textId="77777777" w:rsidR="00B70A7B" w:rsidRDefault="00023226" w:rsidP="00023226">
            <w:pPr>
              <w:tabs>
                <w:tab w:val="left" w:pos="596"/>
                <w:tab w:val="left" w:pos="880"/>
                <w:tab w:val="left" w:pos="8441"/>
              </w:tabs>
              <w:ind w:right="-34" w:firstLine="589"/>
              <w:jc w:val="both"/>
              <w:rPr>
                <w:color w:val="000000"/>
                <w:szCs w:val="24"/>
                <w:shd w:val="clear" w:color="auto" w:fill="FFFFFF"/>
                <w:lang w:eastAsia="lt-LT"/>
              </w:rPr>
            </w:pPr>
            <w:r>
              <w:rPr>
                <w:color w:val="000000"/>
                <w:szCs w:val="24"/>
                <w:shd w:val="clear" w:color="auto" w:fill="FFFFFF"/>
                <w:lang w:eastAsia="lt-LT"/>
              </w:rPr>
              <w:t>– į</w:t>
            </w:r>
            <w:r w:rsidRPr="00023226">
              <w:rPr>
                <w:color w:val="000000"/>
                <w:szCs w:val="24"/>
                <w:shd w:val="clear" w:color="auto" w:fill="FFFFFF"/>
                <w:lang w:eastAsia="lt-LT"/>
              </w:rPr>
              <w:t>galioti Administracijos direktorių, o tarnybinių komandiruočių, atostogų, ligos ar kitais atvejais, kai jis negali eiti pareigų, Savivaldybės administracijos direktorių pavaduojantį asmenį, pasirašyti  visus su projektu susijusius dokumentus.</w:t>
            </w:r>
          </w:p>
          <w:p w14:paraId="461761BB" w14:textId="4B56A9A3" w:rsidR="00023226" w:rsidRPr="00023226" w:rsidRDefault="00023226" w:rsidP="00023226">
            <w:pPr>
              <w:tabs>
                <w:tab w:val="left" w:pos="596"/>
                <w:tab w:val="left" w:pos="880"/>
                <w:tab w:val="left" w:pos="8441"/>
              </w:tabs>
              <w:ind w:right="-34" w:firstLine="589"/>
              <w:jc w:val="both"/>
              <w:rPr>
                <w:i/>
                <w:u w:val="single"/>
                <w:shd w:val="clear" w:color="auto" w:fill="FFFFFF"/>
                <w:lang w:eastAsia="lt-LT"/>
              </w:rPr>
            </w:pP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0D6832FA" w14:textId="21FA1A55" w:rsidR="00023226" w:rsidRDefault="00023226" w:rsidP="00310DC9">
            <w:pPr>
              <w:ind w:firstLine="540"/>
              <w:jc w:val="both"/>
              <w:rPr>
                <w:szCs w:val="24"/>
                <w:lang w:eastAsia="lt-LT"/>
              </w:rPr>
            </w:pPr>
            <w:r w:rsidRPr="00023226">
              <w:rPr>
                <w:szCs w:val="24"/>
                <w:lang w:eastAsia="lt-LT"/>
              </w:rPr>
              <w:t xml:space="preserve">Paskelbtas kvietimas parengtas vadovaujantis 2022–2030 metų sveikatos priežiūros kokybės ir efektyvumo didinimo plėtros programos pažangos priemonės Nr. 11-002-02-11-01 „Gerinti sveikatos priežiūros paslaugų kokybę ir prieinamumą“ projektų finansavimo sąlygų aprašu Nr. </w:t>
            </w:r>
            <w:r w:rsidR="00E72BE5">
              <w:rPr>
                <w:szCs w:val="24"/>
                <w:lang w:eastAsia="lt-LT"/>
              </w:rPr>
              <w:t>27 (toliau – Aprašas)</w:t>
            </w:r>
            <w:r w:rsidRPr="00023226">
              <w:rPr>
                <w:szCs w:val="24"/>
                <w:lang w:eastAsia="lt-LT"/>
              </w:rPr>
              <w:t xml:space="preserve">, </w:t>
            </w:r>
            <w:r w:rsidR="00E72BE5" w:rsidRPr="00E72BE5">
              <w:rPr>
                <w:szCs w:val="24"/>
                <w:lang w:eastAsia="lt-LT"/>
              </w:rPr>
              <w:t>patvirtintu 2024 m. gegužės 28 d. Lietuvos Respublikos sveikatos apsaugos ministro įsakymu Nr. V-594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Pr="00023226">
              <w:rPr>
                <w:szCs w:val="24"/>
                <w:lang w:eastAsia="lt-LT"/>
              </w:rPr>
              <w:t>.</w:t>
            </w:r>
          </w:p>
          <w:p w14:paraId="0F63220A" w14:textId="71AF6CEC" w:rsidR="00E72BE5" w:rsidRDefault="00E72BE5" w:rsidP="00310DC9">
            <w:pPr>
              <w:ind w:firstLine="540"/>
              <w:jc w:val="both"/>
              <w:rPr>
                <w:szCs w:val="24"/>
                <w:lang w:eastAsia="lt-LT"/>
              </w:rPr>
            </w:pPr>
            <w:r w:rsidRPr="00E72BE5">
              <w:rPr>
                <w:szCs w:val="24"/>
                <w:lang w:eastAsia="lt-LT"/>
              </w:rPr>
              <w:t xml:space="preserve">Projekto pareiškėjas </w:t>
            </w:r>
            <w:r>
              <w:rPr>
                <w:szCs w:val="24"/>
                <w:lang w:eastAsia="lt-LT"/>
              </w:rPr>
              <w:t>–</w:t>
            </w:r>
            <w:r w:rsidRPr="00E72BE5">
              <w:rPr>
                <w:szCs w:val="24"/>
                <w:lang w:eastAsia="lt-LT"/>
              </w:rPr>
              <w:t xml:space="preserve"> pagal Aprašo 2.1.2, 2.1.3 ir 2.1.4 papunkčius – </w:t>
            </w:r>
            <w:r>
              <w:rPr>
                <w:szCs w:val="24"/>
                <w:lang w:eastAsia="lt-LT"/>
              </w:rPr>
              <w:t>Šilutės rajono</w:t>
            </w:r>
            <w:r w:rsidRPr="00E72BE5">
              <w:rPr>
                <w:szCs w:val="24"/>
                <w:lang w:eastAsia="lt-LT"/>
              </w:rPr>
              <w:t xml:space="preserve"> savivaldybės administracija, o galimi partneriai - pagal Aprašo 2.1.2, 2.1.3 ir 2.1.4 papunkčius – sveikatos centrai ir (ar) sveikatos priežiūros įstaigos, dalyvaujančios sveikatos centro veikloje ir sudariusios Sveikatos centro apraše nurodytą bendradarbiavimo sutartį.</w:t>
            </w:r>
          </w:p>
          <w:p w14:paraId="4B136970" w14:textId="77777777" w:rsidR="004407F5" w:rsidRPr="004407F5" w:rsidRDefault="00EB1AF7" w:rsidP="004407F5">
            <w:pPr>
              <w:ind w:firstLine="540"/>
              <w:jc w:val="both"/>
              <w:rPr>
                <w:szCs w:val="24"/>
                <w:lang w:eastAsia="lt-LT"/>
              </w:rPr>
            </w:pPr>
            <w:r>
              <w:rPr>
                <w:szCs w:val="24"/>
                <w:lang w:eastAsia="lt-LT"/>
              </w:rPr>
              <w:t xml:space="preserve">VšĮ Centrinė projektų valdymo agentūra paskelbė kvietimą teikti </w:t>
            </w:r>
            <w:r w:rsidR="00316068">
              <w:rPr>
                <w:szCs w:val="24"/>
                <w:lang w:eastAsia="lt-LT"/>
              </w:rPr>
              <w:t>P</w:t>
            </w:r>
            <w:r>
              <w:rPr>
                <w:szCs w:val="24"/>
                <w:lang w:eastAsia="lt-LT"/>
              </w:rPr>
              <w:t xml:space="preserve">rojektų įgyvendinimo planus. </w:t>
            </w:r>
            <w:r w:rsidR="004407F5" w:rsidRPr="004407F5">
              <w:rPr>
                <w:szCs w:val="24"/>
                <w:lang w:eastAsia="lt-LT"/>
              </w:rPr>
              <w:t>Pagal Aprašą tinkamos finansuoti ir galimos vykdyti šios veiklos:</w:t>
            </w:r>
          </w:p>
          <w:p w14:paraId="42C0BFE2" w14:textId="15DFD6DC" w:rsidR="004407F5" w:rsidRPr="004407F5" w:rsidRDefault="004407F5" w:rsidP="004407F5">
            <w:pPr>
              <w:ind w:firstLine="540"/>
              <w:jc w:val="both"/>
              <w:rPr>
                <w:szCs w:val="24"/>
                <w:lang w:eastAsia="lt-LT"/>
              </w:rPr>
            </w:pPr>
            <w:r w:rsidRPr="004407F5">
              <w:rPr>
                <w:szCs w:val="24"/>
                <w:lang w:eastAsia="lt-LT"/>
              </w:rPr>
              <w:t xml:space="preserve">1. </w:t>
            </w:r>
            <w:r>
              <w:rPr>
                <w:szCs w:val="24"/>
                <w:lang w:eastAsia="lt-LT"/>
              </w:rPr>
              <w:t>S</w:t>
            </w:r>
            <w:r w:rsidRPr="004407F5">
              <w:rPr>
                <w:szCs w:val="24"/>
                <w:lang w:eastAsia="lt-LT"/>
              </w:rPr>
              <w:t xml:space="preserve">veikatos centro paslaugų teikimą koordinuojančiosios asmens sveikatos priežiūros įstaigos (toliau – koordinuojančioji įstaiga), nurodytos sveikatos centro bendradarbiavimo sutartyje, funkcijų vykdymo užtikrinimas: </w:t>
            </w:r>
          </w:p>
          <w:p w14:paraId="778E24E7" w14:textId="77777777" w:rsidR="004407F5" w:rsidRPr="004407F5" w:rsidRDefault="004407F5" w:rsidP="004407F5">
            <w:pPr>
              <w:ind w:firstLine="540"/>
              <w:jc w:val="both"/>
              <w:rPr>
                <w:szCs w:val="24"/>
                <w:lang w:eastAsia="lt-LT"/>
              </w:rPr>
            </w:pPr>
            <w:r w:rsidRPr="004407F5">
              <w:rPr>
                <w:szCs w:val="24"/>
                <w:lang w:eastAsia="lt-LT"/>
              </w:rPr>
              <w:t>1.2. sveikatos centro veiklos koordinavimo procesus reglamentuojančio dokumento parengimas;</w:t>
            </w:r>
          </w:p>
          <w:p w14:paraId="232AB006" w14:textId="77777777" w:rsidR="004407F5" w:rsidRPr="004407F5" w:rsidRDefault="004407F5" w:rsidP="004407F5">
            <w:pPr>
              <w:ind w:firstLine="540"/>
              <w:jc w:val="both"/>
              <w:rPr>
                <w:szCs w:val="24"/>
                <w:lang w:eastAsia="lt-LT"/>
              </w:rPr>
            </w:pPr>
            <w:r w:rsidRPr="004407F5">
              <w:rPr>
                <w:szCs w:val="24"/>
                <w:lang w:eastAsia="lt-LT"/>
              </w:rPr>
              <w:t>1.3. sveikatos centro koordinatoriaus veiklos finansavimas (darbo užmokestis);</w:t>
            </w:r>
          </w:p>
          <w:p w14:paraId="37AFA4A1" w14:textId="58DB0AD9" w:rsidR="004407F5" w:rsidRPr="004407F5" w:rsidRDefault="004407F5" w:rsidP="004407F5">
            <w:pPr>
              <w:ind w:firstLine="540"/>
              <w:jc w:val="both"/>
              <w:rPr>
                <w:szCs w:val="24"/>
                <w:lang w:eastAsia="lt-LT"/>
              </w:rPr>
            </w:pPr>
            <w:r w:rsidRPr="004407F5">
              <w:rPr>
                <w:szCs w:val="24"/>
                <w:lang w:eastAsia="lt-LT"/>
              </w:rPr>
              <w:t xml:space="preserve">2. </w:t>
            </w:r>
            <w:r>
              <w:rPr>
                <w:szCs w:val="24"/>
                <w:lang w:eastAsia="lt-LT"/>
              </w:rPr>
              <w:t>E</w:t>
            </w:r>
            <w:r w:rsidRPr="004407F5">
              <w:rPr>
                <w:szCs w:val="24"/>
                <w:lang w:eastAsia="lt-LT"/>
              </w:rPr>
              <w:t xml:space="preserve">fektyvių paslaugų teikimo modelių (metodų), gerinančių sveikatos priežiūros paslaugų kokybę ir prieinamumą pacientams, sergantiems viena ar keliomis lėtinėmis neinfekcinėmis ligomis, kurios žymimos šiais TLK-10-AM kodais: E10 – 1 tipo cukrinis diabetas, E11 – 2 tipo cukrinis diabetas, E13 – kitas patikslintas cukrinis diabetas, E14 – nepatikslintas cukrinis diabetas, I11 – </w:t>
            </w:r>
            <w:proofErr w:type="spellStart"/>
            <w:r w:rsidRPr="004407F5">
              <w:rPr>
                <w:szCs w:val="24"/>
                <w:lang w:eastAsia="lt-LT"/>
              </w:rPr>
              <w:t>hipertenzinė</w:t>
            </w:r>
            <w:proofErr w:type="spellEnd"/>
            <w:r w:rsidRPr="004407F5">
              <w:rPr>
                <w:szCs w:val="24"/>
                <w:lang w:eastAsia="lt-LT"/>
              </w:rPr>
              <w:t xml:space="preserve"> širdies liga, I12 – </w:t>
            </w:r>
            <w:proofErr w:type="spellStart"/>
            <w:r w:rsidRPr="004407F5">
              <w:rPr>
                <w:szCs w:val="24"/>
                <w:lang w:eastAsia="lt-LT"/>
              </w:rPr>
              <w:t>hipertenzinė</w:t>
            </w:r>
            <w:proofErr w:type="spellEnd"/>
            <w:r w:rsidRPr="004407F5">
              <w:rPr>
                <w:szCs w:val="24"/>
                <w:lang w:eastAsia="lt-LT"/>
              </w:rPr>
              <w:t xml:space="preserve"> inkstų liga; I13 – </w:t>
            </w:r>
            <w:proofErr w:type="spellStart"/>
            <w:r w:rsidRPr="004407F5">
              <w:rPr>
                <w:szCs w:val="24"/>
                <w:lang w:eastAsia="lt-LT"/>
              </w:rPr>
              <w:t>hipertenzinė</w:t>
            </w:r>
            <w:proofErr w:type="spellEnd"/>
            <w:r w:rsidRPr="004407F5">
              <w:rPr>
                <w:szCs w:val="24"/>
                <w:lang w:eastAsia="lt-LT"/>
              </w:rPr>
              <w:t xml:space="preserve"> širdies ir inkstų liga, I15 – antrinė hipertenzija, I48 – prieširdžių virpėjimas ir plazdėjimas, I50 – širdies nepakankamumas, J44 – kita lėtinė obstrukcinė plaučių liga, J45 – astma, taikymas sveikatos centre. Taikant paslaugų teikimo pacientams, sergantiems lėtinėmis neinfekcinėmis ligomis, modelį rekomenduojamos pasirinkti šios komponentės: koordinuojanti </w:t>
            </w:r>
            <w:proofErr w:type="spellStart"/>
            <w:r w:rsidRPr="004407F5">
              <w:rPr>
                <w:szCs w:val="24"/>
                <w:lang w:eastAsia="lt-LT"/>
              </w:rPr>
              <w:t>daugiadalykė</w:t>
            </w:r>
            <w:proofErr w:type="spellEnd"/>
            <w:r w:rsidRPr="004407F5">
              <w:rPr>
                <w:szCs w:val="24"/>
                <w:lang w:eastAsia="lt-LT"/>
              </w:rPr>
              <w:t xml:space="preserve"> komanda; </w:t>
            </w:r>
            <w:r w:rsidRPr="004407F5">
              <w:rPr>
                <w:szCs w:val="24"/>
                <w:lang w:eastAsia="lt-LT"/>
              </w:rPr>
              <w:lastRenderedPageBreak/>
              <w:t xml:space="preserve">tęstinis, reguliarus ir visa apimantis (t. y. holistinis) paciento ištyrimas;  individualizuoto paciento sveikatos priežiūros plano sudarymas bei šio plano vykdymo ir kontaktų su pacientu ir jo šeima koordinatoriaus paskyrimas (atvejo vadybininkas); </w:t>
            </w:r>
            <w:proofErr w:type="spellStart"/>
            <w:r w:rsidRPr="004407F5">
              <w:rPr>
                <w:szCs w:val="24"/>
                <w:lang w:eastAsia="lt-LT"/>
              </w:rPr>
              <w:t>daugiadalykės</w:t>
            </w:r>
            <w:proofErr w:type="spellEnd"/>
            <w:r w:rsidRPr="004407F5">
              <w:rPr>
                <w:szCs w:val="24"/>
                <w:lang w:eastAsia="lt-LT"/>
              </w:rPr>
              <w:t xml:space="preserve"> komandos narių mokymai, skirti profesinėms žinioms ir įgūdžiams, reikalingiems sergančių lėtinėmis neinfekcinėmis ligomis pacientų priežiūrai, gerinti, taip pat mokymai, kaip pagelbėti pacientui ir šeimai įsisavinti ar pagerinti </w:t>
            </w:r>
            <w:proofErr w:type="spellStart"/>
            <w:r w:rsidRPr="004407F5">
              <w:rPr>
                <w:szCs w:val="24"/>
                <w:lang w:eastAsia="lt-LT"/>
              </w:rPr>
              <w:t>savipriežiūrą</w:t>
            </w:r>
            <w:proofErr w:type="spellEnd"/>
            <w:r w:rsidRPr="004407F5">
              <w:rPr>
                <w:szCs w:val="24"/>
                <w:lang w:eastAsia="lt-LT"/>
              </w:rPr>
              <w:t xml:space="preserve">, atsižvelgiant į paciento poreikius ir sugebėjimus; pacientų ir jų šeimos narių (artimųjų) mokymai, skirti </w:t>
            </w:r>
            <w:proofErr w:type="spellStart"/>
            <w:r w:rsidRPr="004407F5">
              <w:rPr>
                <w:szCs w:val="24"/>
                <w:lang w:eastAsia="lt-LT"/>
              </w:rPr>
              <w:t>savipriežiūros</w:t>
            </w:r>
            <w:proofErr w:type="spellEnd"/>
            <w:r w:rsidRPr="004407F5">
              <w:rPr>
                <w:szCs w:val="24"/>
                <w:lang w:eastAsia="lt-LT"/>
              </w:rPr>
              <w:t xml:space="preserve"> įgūdžiams tobulinti; gydytojo ir paciento bendras sprendimo priėmimas dėl gydymo; technologijos, leidžiančios pacientams nuotoliniu būdu pateikti savo sveikatos duomenis / informaciją sveikatos priežiūros specialistams, naudojimas. Taikant paslaugų teikimo modelį finansuojama:</w:t>
            </w:r>
          </w:p>
          <w:p w14:paraId="684B9525" w14:textId="77777777" w:rsidR="004407F5" w:rsidRPr="004407F5" w:rsidRDefault="004407F5" w:rsidP="004407F5">
            <w:pPr>
              <w:ind w:firstLine="540"/>
              <w:jc w:val="both"/>
              <w:rPr>
                <w:szCs w:val="24"/>
                <w:lang w:eastAsia="lt-LT"/>
              </w:rPr>
            </w:pPr>
            <w:r w:rsidRPr="004407F5">
              <w:rPr>
                <w:szCs w:val="24"/>
                <w:lang w:eastAsia="lt-LT"/>
              </w:rPr>
              <w:t xml:space="preserve">2.1. </w:t>
            </w:r>
            <w:proofErr w:type="spellStart"/>
            <w:r w:rsidRPr="004407F5">
              <w:rPr>
                <w:szCs w:val="24"/>
                <w:lang w:eastAsia="lt-LT"/>
              </w:rPr>
              <w:t>daugiadalykės</w:t>
            </w:r>
            <w:proofErr w:type="spellEnd"/>
            <w:r w:rsidRPr="004407F5">
              <w:rPr>
                <w:szCs w:val="24"/>
                <w:lang w:eastAsia="lt-LT"/>
              </w:rPr>
              <w:t xml:space="preserve"> specialistų komandos veiklos, vykdomos taikant naują paslaugų teikimo modelį, finansavimas (darbo užmokestis). </w:t>
            </w:r>
            <w:proofErr w:type="spellStart"/>
            <w:r w:rsidRPr="004407F5">
              <w:rPr>
                <w:szCs w:val="24"/>
                <w:lang w:eastAsia="lt-LT"/>
              </w:rPr>
              <w:t>Daugiadalykę</w:t>
            </w:r>
            <w:proofErr w:type="spellEnd"/>
            <w:r w:rsidRPr="004407F5">
              <w:rPr>
                <w:szCs w:val="24"/>
                <w:lang w:eastAsia="lt-LT"/>
              </w:rPr>
              <w:t xml:space="preserve"> specialistų komandą sudaro šeimos gydytojo komandos nariai (šeimos gydytojas, bendrosios praktikos slaugytojas arba išplėstinės praktikos slaugytojas, akušeris, atvejo vadybininkas, kineziterapeutas, gyvensenos medicinos specialistas, apylinkės administratorius, socialinis darbuotojas) ir atitinkamos profesinės kvalifikacijos gydytojas specialistas, kuris pagal atitinkamą Lietuvos medicinos normą turi teisę teikti asmens sveikatos priežiūros paslaugas asmenims, sergantiems Aprašo 2.1.3 papunktyje nurodytomis ligomis;</w:t>
            </w:r>
          </w:p>
          <w:p w14:paraId="36A5926B" w14:textId="77777777" w:rsidR="004407F5" w:rsidRPr="004407F5" w:rsidRDefault="004407F5" w:rsidP="004407F5">
            <w:pPr>
              <w:ind w:firstLine="540"/>
              <w:jc w:val="both"/>
              <w:rPr>
                <w:szCs w:val="24"/>
                <w:lang w:eastAsia="lt-LT"/>
              </w:rPr>
            </w:pPr>
            <w:r w:rsidRPr="004407F5">
              <w:rPr>
                <w:szCs w:val="24"/>
                <w:lang w:eastAsia="lt-LT"/>
              </w:rPr>
              <w:t xml:space="preserve">2.2. </w:t>
            </w:r>
            <w:proofErr w:type="spellStart"/>
            <w:r w:rsidRPr="004407F5">
              <w:rPr>
                <w:szCs w:val="24"/>
                <w:lang w:eastAsia="lt-LT"/>
              </w:rPr>
              <w:t>daugiadalykės</w:t>
            </w:r>
            <w:proofErr w:type="spellEnd"/>
            <w:r w:rsidRPr="004407F5">
              <w:rPr>
                <w:szCs w:val="24"/>
                <w:lang w:eastAsia="lt-LT"/>
              </w:rPr>
              <w:t xml:space="preserve"> specialistų komandos narių mokymai taikyti efektyvius paslaugų teikimo modelius;</w:t>
            </w:r>
          </w:p>
          <w:p w14:paraId="08EEF4E2" w14:textId="77777777" w:rsidR="004407F5" w:rsidRPr="004407F5" w:rsidRDefault="004407F5" w:rsidP="004407F5">
            <w:pPr>
              <w:ind w:firstLine="540"/>
              <w:jc w:val="both"/>
              <w:rPr>
                <w:szCs w:val="24"/>
                <w:lang w:eastAsia="lt-LT"/>
              </w:rPr>
            </w:pPr>
            <w:r w:rsidRPr="004407F5">
              <w:rPr>
                <w:szCs w:val="24"/>
                <w:lang w:eastAsia="lt-LT"/>
              </w:rPr>
              <w:t>2.3. pacientų ir jų šeimos narių (artimųjų) mokymai savarankiškai valdyti lėtines neinfekcines ligas;</w:t>
            </w:r>
          </w:p>
          <w:p w14:paraId="523525B1" w14:textId="77777777" w:rsidR="004407F5" w:rsidRPr="004407F5" w:rsidRDefault="004407F5" w:rsidP="004407F5">
            <w:pPr>
              <w:ind w:firstLine="540"/>
              <w:jc w:val="both"/>
              <w:rPr>
                <w:szCs w:val="24"/>
                <w:lang w:eastAsia="lt-LT"/>
              </w:rPr>
            </w:pPr>
            <w:r w:rsidRPr="004407F5">
              <w:rPr>
                <w:szCs w:val="24"/>
                <w:lang w:eastAsia="lt-LT"/>
              </w:rPr>
              <w:t>2.4. prietaisų, skirtų pacientų sveikatos būklei ambulatoriškai ir nuotoliniu būdu stebėti ir vertinti, įsigijimas ir reikalingų programėlių, įgalinančių stebėti pacientų sveikatos būklę ir pateikti rekomendacijas, įsigijimas ir įdiegimas mobiliajame telefone ir (ar) kompiuteryje;</w:t>
            </w:r>
          </w:p>
          <w:p w14:paraId="5BF3DBDA" w14:textId="28400928" w:rsidR="004407F5" w:rsidRPr="004407F5" w:rsidRDefault="004407F5" w:rsidP="004407F5">
            <w:pPr>
              <w:ind w:firstLine="540"/>
              <w:jc w:val="both"/>
              <w:rPr>
                <w:szCs w:val="24"/>
                <w:lang w:eastAsia="lt-LT"/>
              </w:rPr>
            </w:pPr>
            <w:r w:rsidRPr="004407F5">
              <w:rPr>
                <w:szCs w:val="24"/>
                <w:lang w:eastAsia="lt-LT"/>
              </w:rPr>
              <w:t xml:space="preserve">3. </w:t>
            </w:r>
            <w:r>
              <w:rPr>
                <w:szCs w:val="24"/>
                <w:lang w:eastAsia="lt-LT"/>
              </w:rPr>
              <w:t>P</w:t>
            </w:r>
            <w:r w:rsidRPr="004407F5">
              <w:rPr>
                <w:szCs w:val="24"/>
                <w:lang w:eastAsia="lt-LT"/>
              </w:rPr>
              <w:t>acientų srautų valdymo ir (ar) paslaugų teikimo priemonių, kad konkrečiam pacientui būtų užtikrintas vientisas (taikant žaliojo koridoriaus principą) visų reikiamų sveikatos centro paslaugų sąrašo paslaugų suteikimas per kuo trumpesnius terminus, įgyvendinimas:</w:t>
            </w:r>
          </w:p>
          <w:p w14:paraId="35463142" w14:textId="77777777" w:rsidR="004407F5" w:rsidRPr="004407F5" w:rsidRDefault="004407F5" w:rsidP="004407F5">
            <w:pPr>
              <w:ind w:firstLine="540"/>
              <w:jc w:val="both"/>
              <w:rPr>
                <w:szCs w:val="24"/>
                <w:lang w:eastAsia="lt-LT"/>
              </w:rPr>
            </w:pPr>
            <w:r w:rsidRPr="004407F5">
              <w:rPr>
                <w:szCs w:val="24"/>
                <w:lang w:eastAsia="lt-LT"/>
              </w:rPr>
              <w:t>3.1. atvejo vadybininko veiklos finansavimas (darbo užmokestis);</w:t>
            </w:r>
          </w:p>
          <w:p w14:paraId="4115254C" w14:textId="77777777" w:rsidR="00C72774" w:rsidRDefault="004407F5" w:rsidP="00C72774">
            <w:pPr>
              <w:tabs>
                <w:tab w:val="left" w:pos="731"/>
              </w:tabs>
              <w:ind w:left="22" w:firstLine="567"/>
              <w:jc w:val="both"/>
              <w:rPr>
                <w:szCs w:val="24"/>
                <w:lang w:eastAsia="lt-LT"/>
              </w:rPr>
            </w:pPr>
            <w:r w:rsidRPr="004407F5">
              <w:rPr>
                <w:szCs w:val="24"/>
                <w:lang w:eastAsia="lt-LT"/>
              </w:rPr>
              <w:t>3.2. dokumentų, reikalingų  pacientų srautų valdymo ir (ar) paslaugų teikimo priemonių (taikant žaliojo koridoriaus principą) įgyvendinimui, parengimas.</w:t>
            </w:r>
          </w:p>
          <w:p w14:paraId="19D035F3" w14:textId="5583EC82" w:rsidR="00E72BE5" w:rsidRDefault="00E72BE5" w:rsidP="004407F5">
            <w:pPr>
              <w:tabs>
                <w:tab w:val="left" w:pos="731"/>
              </w:tabs>
              <w:ind w:left="22" w:firstLine="567"/>
              <w:jc w:val="both"/>
              <w:rPr>
                <w:szCs w:val="24"/>
                <w:lang w:eastAsia="lt-LT"/>
              </w:rPr>
            </w:pPr>
            <w:r w:rsidRPr="00E72BE5">
              <w:rPr>
                <w:szCs w:val="24"/>
                <w:lang w:eastAsia="lt-LT"/>
              </w:rPr>
              <w:t xml:space="preserve">Projekto veiklos turi būti įgyvendintos per 36 mėnesius nuo projekto sutarties įsigaliojimo. Prireikus projekto veiklos gali būti pratęstos pagrįstam laikotarpiui, bet ne ilgiau kaip iki 2029 m. spalio 1 d. </w:t>
            </w:r>
          </w:p>
          <w:p w14:paraId="31AC8A4B" w14:textId="05F789CE" w:rsidR="004407F5" w:rsidRPr="00E72BE5" w:rsidRDefault="004407F5" w:rsidP="004407F5">
            <w:pPr>
              <w:tabs>
                <w:tab w:val="left" w:pos="731"/>
              </w:tabs>
              <w:ind w:left="22" w:firstLine="567"/>
              <w:jc w:val="both"/>
              <w:rPr>
                <w:szCs w:val="24"/>
                <w:lang w:eastAsia="lt-LT"/>
              </w:rPr>
            </w:pP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lastRenderedPageBreak/>
              <w:t>3. Kokių pozityvių rezultatų laukiama.</w:t>
            </w:r>
          </w:p>
        </w:tc>
      </w:tr>
      <w:tr w:rsidR="00DD1F44" w14:paraId="01D60278" w14:textId="77777777" w:rsidTr="00DD1F44">
        <w:tc>
          <w:tcPr>
            <w:tcW w:w="9854" w:type="dxa"/>
          </w:tcPr>
          <w:p w14:paraId="474BAFF0" w14:textId="6411F3AD" w:rsidR="00B11AC2" w:rsidRDefault="004407F5" w:rsidP="00310DC9">
            <w:pPr>
              <w:tabs>
                <w:tab w:val="left" w:pos="0"/>
                <w:tab w:val="left" w:pos="540"/>
              </w:tabs>
              <w:ind w:firstLine="540"/>
              <w:jc w:val="both"/>
              <w:rPr>
                <w:szCs w:val="24"/>
                <w:lang w:eastAsia="lt-LT"/>
              </w:rPr>
            </w:pPr>
            <w:r w:rsidRPr="004407F5">
              <w:rPr>
                <w:szCs w:val="24"/>
                <w:lang w:eastAsia="lt-LT"/>
              </w:rPr>
              <w:t>Sveikatos centro teikiamų paslaugų kokybės</w:t>
            </w:r>
            <w:r>
              <w:rPr>
                <w:szCs w:val="24"/>
                <w:lang w:eastAsia="lt-LT"/>
              </w:rPr>
              <w:t xml:space="preserve"> </w:t>
            </w:r>
            <w:r w:rsidRPr="004407F5">
              <w:rPr>
                <w:szCs w:val="24"/>
                <w:lang w:eastAsia="lt-LT"/>
              </w:rPr>
              <w:t>/</w:t>
            </w:r>
            <w:r>
              <w:rPr>
                <w:szCs w:val="24"/>
                <w:lang w:eastAsia="lt-LT"/>
              </w:rPr>
              <w:t xml:space="preserve"> </w:t>
            </w:r>
            <w:r w:rsidRPr="004407F5">
              <w:rPr>
                <w:szCs w:val="24"/>
                <w:lang w:eastAsia="lt-LT"/>
              </w:rPr>
              <w:t xml:space="preserve">prieinamumo gerinimas bei </w:t>
            </w:r>
            <w:r>
              <w:rPr>
                <w:szCs w:val="24"/>
                <w:lang w:eastAsia="lt-LT"/>
              </w:rPr>
              <w:t>asmens sveikatos priežiūros įstaigų</w:t>
            </w:r>
            <w:r w:rsidRPr="004407F5">
              <w:rPr>
                <w:szCs w:val="24"/>
                <w:lang w:eastAsia="lt-LT"/>
              </w:rPr>
              <w:t xml:space="preserve"> bendradarbiavimo stiprinimas.</w:t>
            </w:r>
          </w:p>
          <w:p w14:paraId="780C1030" w14:textId="2BC654FB" w:rsidR="004407F5" w:rsidRPr="00FA4CC2" w:rsidRDefault="004407F5" w:rsidP="00310DC9">
            <w:pPr>
              <w:tabs>
                <w:tab w:val="left" w:pos="0"/>
                <w:tab w:val="left" w:pos="540"/>
              </w:tabs>
              <w:ind w:firstLine="540"/>
              <w:jc w:val="both"/>
              <w:rPr>
                <w:szCs w:val="24"/>
                <w:lang w:eastAsia="lt-LT"/>
              </w:rPr>
            </w:pP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371AAECC" w14:textId="77777777" w:rsidR="00B70A7B" w:rsidRDefault="00FA4CC2" w:rsidP="00A04F87">
            <w:pPr>
              <w:jc w:val="both"/>
              <w:rPr>
                <w:i/>
                <w:szCs w:val="24"/>
              </w:rPr>
            </w:pPr>
            <w:r w:rsidRPr="00FA4CC2">
              <w:rPr>
                <w:i/>
                <w:szCs w:val="24"/>
              </w:rPr>
              <w:t>-------------</w:t>
            </w:r>
          </w:p>
          <w:p w14:paraId="74289F7C" w14:textId="06DB801D" w:rsidR="00FA180A" w:rsidRDefault="00FA180A" w:rsidP="00A04F87">
            <w:pPr>
              <w:jc w:val="both"/>
            </w:pP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2351ABD0" w14:textId="1B287845" w:rsidR="00B70A7B" w:rsidRDefault="00C72774" w:rsidP="00C72774">
            <w:pPr>
              <w:ind w:firstLine="589"/>
              <w:jc w:val="both"/>
              <w:rPr>
                <w:iCs/>
                <w:szCs w:val="24"/>
              </w:rPr>
            </w:pPr>
            <w:r w:rsidRPr="00C72774">
              <w:rPr>
                <w:iCs/>
                <w:szCs w:val="24"/>
              </w:rPr>
              <w:t xml:space="preserve">Gavus finansavimą bus tikslinamas </w:t>
            </w:r>
            <w:r>
              <w:rPr>
                <w:iCs/>
                <w:szCs w:val="24"/>
              </w:rPr>
              <w:t>Šilutės</w:t>
            </w:r>
            <w:r w:rsidRPr="00C72774">
              <w:rPr>
                <w:iCs/>
                <w:szCs w:val="24"/>
              </w:rPr>
              <w:t xml:space="preserve"> rajono savivaldybės </w:t>
            </w:r>
            <w:r>
              <w:rPr>
                <w:iCs/>
                <w:szCs w:val="24"/>
              </w:rPr>
              <w:t xml:space="preserve">2024–2026 metų </w:t>
            </w:r>
            <w:r w:rsidRPr="00C72774">
              <w:rPr>
                <w:iCs/>
                <w:szCs w:val="24"/>
              </w:rPr>
              <w:t xml:space="preserve">strateginis veiklos planas, patvirtintas </w:t>
            </w:r>
            <w:r>
              <w:rPr>
                <w:iCs/>
                <w:szCs w:val="24"/>
              </w:rPr>
              <w:t>Šilutės</w:t>
            </w:r>
            <w:r w:rsidRPr="00C72774">
              <w:rPr>
                <w:iCs/>
                <w:szCs w:val="24"/>
              </w:rPr>
              <w:t xml:space="preserve"> rajono savivaldybės tarybos 2024 m. </w:t>
            </w:r>
            <w:r>
              <w:rPr>
                <w:iCs/>
                <w:szCs w:val="24"/>
              </w:rPr>
              <w:t>sausio</w:t>
            </w:r>
            <w:r w:rsidRPr="00C72774">
              <w:rPr>
                <w:iCs/>
                <w:szCs w:val="24"/>
              </w:rPr>
              <w:t xml:space="preserve"> </w:t>
            </w:r>
            <w:r>
              <w:rPr>
                <w:iCs/>
                <w:szCs w:val="24"/>
              </w:rPr>
              <w:t>25</w:t>
            </w:r>
            <w:r w:rsidRPr="00C72774">
              <w:rPr>
                <w:iCs/>
                <w:szCs w:val="24"/>
              </w:rPr>
              <w:t xml:space="preserve"> d. sprendimu Nr. T-</w:t>
            </w:r>
            <w:r>
              <w:rPr>
                <w:iCs/>
                <w:szCs w:val="24"/>
              </w:rPr>
              <w:t>205</w:t>
            </w:r>
            <w:r w:rsidRPr="00C72774">
              <w:rPr>
                <w:iCs/>
                <w:szCs w:val="24"/>
              </w:rPr>
              <w:t xml:space="preserve"> „Dėl </w:t>
            </w:r>
            <w:r>
              <w:rPr>
                <w:iCs/>
                <w:szCs w:val="24"/>
              </w:rPr>
              <w:t>Šilutės</w:t>
            </w:r>
            <w:r w:rsidRPr="00C72774">
              <w:rPr>
                <w:iCs/>
                <w:szCs w:val="24"/>
              </w:rPr>
              <w:t xml:space="preserve"> rajono savivaldybės </w:t>
            </w:r>
            <w:r>
              <w:rPr>
                <w:iCs/>
                <w:szCs w:val="24"/>
              </w:rPr>
              <w:t xml:space="preserve">2024–2026 metų </w:t>
            </w:r>
            <w:r w:rsidRPr="00C72774">
              <w:rPr>
                <w:iCs/>
                <w:szCs w:val="24"/>
              </w:rPr>
              <w:t>strateginio veiklos plano patvirtinimo“.</w:t>
            </w:r>
          </w:p>
          <w:p w14:paraId="10F9DA85" w14:textId="56C21D79" w:rsidR="00C72774" w:rsidRPr="00C72774" w:rsidRDefault="00C72774" w:rsidP="00C72774">
            <w:pPr>
              <w:ind w:firstLine="589"/>
              <w:jc w:val="both"/>
              <w:rPr>
                <w:iCs/>
              </w:rPr>
            </w:pP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6160A222" w14:textId="5338DB7A" w:rsidR="00B70A7B" w:rsidRDefault="00FA4CC2" w:rsidP="00310DC9">
            <w:pPr>
              <w:ind w:firstLine="596"/>
              <w:jc w:val="both"/>
              <w:rPr>
                <w:szCs w:val="24"/>
                <w:lang w:eastAsia="lt-LT"/>
              </w:rPr>
            </w:pPr>
            <w:r w:rsidRPr="00FA4CC2">
              <w:rPr>
                <w:szCs w:val="24"/>
                <w:lang w:eastAsia="lt-LT"/>
              </w:rPr>
              <w:lastRenderedPageBreak/>
              <w:t>Antikorupcinis vertinimas nereikalingas</w:t>
            </w:r>
            <w:r w:rsidR="00B70A7B">
              <w:rPr>
                <w:szCs w:val="24"/>
                <w:lang w:eastAsia="lt-LT"/>
              </w:rPr>
              <w:t>.</w:t>
            </w:r>
          </w:p>
          <w:p w14:paraId="4DF6DD31" w14:textId="0BA0E320" w:rsidR="00E55662" w:rsidRDefault="00E55662" w:rsidP="00310DC9">
            <w:pPr>
              <w:ind w:firstLine="596"/>
              <w:jc w:val="both"/>
            </w:pP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102A16DC" w14:textId="1412F0B3" w:rsidR="006B7BB3" w:rsidRDefault="00582B02" w:rsidP="00582B02">
            <w:pPr>
              <w:ind w:firstLine="458"/>
              <w:jc w:val="both"/>
              <w:rPr>
                <w:iCs/>
                <w:szCs w:val="24"/>
              </w:rPr>
            </w:pPr>
            <w:r>
              <w:rPr>
                <w:iCs/>
                <w:szCs w:val="24"/>
              </w:rPr>
              <w:t>Šilutės</w:t>
            </w:r>
            <w:r w:rsidRPr="00582B02">
              <w:rPr>
                <w:iCs/>
                <w:szCs w:val="24"/>
              </w:rPr>
              <w:t xml:space="preserve"> rajono savivaldybei</w:t>
            </w:r>
            <w:r>
              <w:rPr>
                <w:iCs/>
                <w:szCs w:val="24"/>
              </w:rPr>
              <w:t xml:space="preserve"> </w:t>
            </w:r>
            <w:r w:rsidR="00165155">
              <w:rPr>
                <w:iCs/>
                <w:szCs w:val="24"/>
              </w:rPr>
              <w:t>Projektui įgyvendinti yra skirta</w:t>
            </w:r>
            <w:r w:rsidRPr="00582B02">
              <w:rPr>
                <w:iCs/>
                <w:szCs w:val="24"/>
              </w:rPr>
              <w:t xml:space="preserve"> </w:t>
            </w:r>
            <w:r w:rsidR="004407F5" w:rsidRPr="004407F5">
              <w:rPr>
                <w:iCs/>
                <w:szCs w:val="24"/>
              </w:rPr>
              <w:t>408 962</w:t>
            </w:r>
            <w:r w:rsidR="00165155">
              <w:rPr>
                <w:iCs/>
                <w:szCs w:val="24"/>
              </w:rPr>
              <w:t xml:space="preserve"> Eur</w:t>
            </w:r>
            <w:r w:rsidR="006B7BB3">
              <w:rPr>
                <w:iCs/>
                <w:szCs w:val="24"/>
              </w:rPr>
              <w:t>.</w:t>
            </w:r>
          </w:p>
          <w:p w14:paraId="3E90AC32" w14:textId="77777777" w:rsidR="006B7BB3" w:rsidRDefault="00582B02" w:rsidP="00582B02">
            <w:pPr>
              <w:ind w:firstLine="458"/>
              <w:jc w:val="both"/>
              <w:rPr>
                <w:iCs/>
                <w:szCs w:val="24"/>
              </w:rPr>
            </w:pPr>
            <w:r>
              <w:rPr>
                <w:iCs/>
                <w:szCs w:val="24"/>
              </w:rPr>
              <w:t>F</w:t>
            </w:r>
            <w:r w:rsidRPr="00030815">
              <w:rPr>
                <w:iCs/>
                <w:szCs w:val="24"/>
              </w:rPr>
              <w:t>inansavimo intensyvumas – 100 proc.</w:t>
            </w:r>
            <w:r>
              <w:rPr>
                <w:iCs/>
                <w:szCs w:val="24"/>
              </w:rPr>
              <w:t xml:space="preserve"> </w:t>
            </w:r>
          </w:p>
          <w:p w14:paraId="7D47E6F1" w14:textId="52A45902" w:rsidR="006B7BB3" w:rsidRDefault="00BA74C7" w:rsidP="00BA74C7">
            <w:pPr>
              <w:ind w:firstLine="454"/>
              <w:jc w:val="both"/>
              <w:rPr>
                <w:iCs/>
              </w:rPr>
            </w:pPr>
            <w:r>
              <w:rPr>
                <w:iCs/>
              </w:rPr>
              <w:t>Projekto įgyvendinimo plano pateikimo terminas –</w:t>
            </w:r>
            <w:r w:rsidR="00367CB8" w:rsidRPr="00367CB8">
              <w:rPr>
                <w:iCs/>
              </w:rPr>
              <w:t xml:space="preserve"> 2024 m.</w:t>
            </w:r>
            <w:r w:rsidR="006B7BB3">
              <w:rPr>
                <w:iCs/>
              </w:rPr>
              <w:t xml:space="preserve"> </w:t>
            </w:r>
            <w:r w:rsidR="004407F5">
              <w:rPr>
                <w:iCs/>
              </w:rPr>
              <w:t>rugsėjo</w:t>
            </w:r>
            <w:r w:rsidR="00AE634D">
              <w:rPr>
                <w:iCs/>
              </w:rPr>
              <w:t xml:space="preserve"> </w:t>
            </w:r>
            <w:r w:rsidR="004407F5">
              <w:rPr>
                <w:iCs/>
              </w:rPr>
              <w:t>30</w:t>
            </w:r>
            <w:r w:rsidR="00367CB8" w:rsidRPr="00367CB8">
              <w:rPr>
                <w:iCs/>
              </w:rPr>
              <w:t xml:space="preserve"> d. </w:t>
            </w:r>
          </w:p>
          <w:p w14:paraId="5981A167" w14:textId="77777777" w:rsidR="00B70A7B" w:rsidRDefault="00BA74C7" w:rsidP="00BA74C7">
            <w:pPr>
              <w:ind w:firstLine="454"/>
              <w:jc w:val="both"/>
              <w:rPr>
                <w:iCs/>
              </w:rPr>
            </w:pPr>
            <w:r>
              <w:rPr>
                <w:iCs/>
              </w:rPr>
              <w:t>Projektų</w:t>
            </w:r>
            <w:r w:rsidR="00367CB8" w:rsidRPr="00367CB8">
              <w:rPr>
                <w:iCs/>
              </w:rPr>
              <w:t xml:space="preserve"> atrankos būdas – </w:t>
            </w:r>
            <w:r>
              <w:rPr>
                <w:iCs/>
              </w:rPr>
              <w:t xml:space="preserve">valstybinis </w:t>
            </w:r>
            <w:r w:rsidR="00367CB8" w:rsidRPr="00367CB8">
              <w:rPr>
                <w:iCs/>
              </w:rPr>
              <w:t>planavimas.</w:t>
            </w:r>
          </w:p>
          <w:p w14:paraId="5D12ACCD" w14:textId="77777777" w:rsidR="00C72774" w:rsidRPr="00C72774" w:rsidRDefault="00C72774" w:rsidP="00C72774">
            <w:pPr>
              <w:ind w:firstLine="454"/>
              <w:jc w:val="both"/>
              <w:rPr>
                <w:iCs/>
              </w:rPr>
            </w:pPr>
            <w:r w:rsidRPr="00C72774">
              <w:rPr>
                <w:iCs/>
              </w:rPr>
              <w:t xml:space="preserve">Tinkamos finansuoti išlaidos: mokymai, dokumentų parengimas (mokymų medžiaga, procesų aprašai, gairės), renginiai, darbo užmokesčio išlaidos SC koordinatoriams, darbo užmokestis modelio taikyme dalyvaujančios </w:t>
            </w:r>
            <w:proofErr w:type="spellStart"/>
            <w:r w:rsidRPr="00C72774">
              <w:rPr>
                <w:iCs/>
              </w:rPr>
              <w:t>daugiadalykės</w:t>
            </w:r>
            <w:proofErr w:type="spellEnd"/>
            <w:r w:rsidRPr="00C72774">
              <w:rPr>
                <w:iCs/>
              </w:rPr>
              <w:t xml:space="preserve"> specialistų komandos nariams, medicininių priemonių (prietaisų), skirtų pacientų sveikatos būklei ambulatoriškai ir nuotoliniu būdu stebėti ir vertinti įsigijimas (pvz.: prietaisas kraujo spaudimui matuoti, prietaisas gliukozės kiekiui kraujyje matuoti, prietaisas kraujo įsisotinimui deguonimi matuoti, žingsniamatis ir kt.). </w:t>
            </w:r>
          </w:p>
          <w:p w14:paraId="307C1E46" w14:textId="7E36BE59" w:rsidR="00C72774" w:rsidRPr="00C72774" w:rsidRDefault="00C72774" w:rsidP="00C72774">
            <w:pPr>
              <w:ind w:firstLine="454"/>
              <w:jc w:val="both"/>
              <w:rPr>
                <w:iCs/>
              </w:rPr>
            </w:pPr>
            <w:r w:rsidRPr="00C72774">
              <w:rPr>
                <w:iCs/>
              </w:rPr>
              <w:t xml:space="preserve">Netinkamos finansuoti: </w:t>
            </w:r>
            <w:r>
              <w:rPr>
                <w:iCs/>
              </w:rPr>
              <w:t>r</w:t>
            </w:r>
            <w:r w:rsidRPr="00C72774">
              <w:rPr>
                <w:iCs/>
              </w:rPr>
              <w:t>angos darbai, medicinos įranga (išskyrus priemones, skirtas lėtinėmis ligomis sergantiems pacientams stebėti), baldai, kompiuterinė technika, naudojamo ilgalaikio turto nusidėvėjimo (amortizacijos) sąnaudos.</w:t>
            </w:r>
          </w:p>
          <w:p w14:paraId="73FE148D" w14:textId="0F57348F" w:rsidR="00C72774" w:rsidRDefault="00C72774" w:rsidP="00C72774">
            <w:pPr>
              <w:ind w:firstLine="454"/>
              <w:jc w:val="both"/>
              <w:rPr>
                <w:iCs/>
              </w:rPr>
            </w:pPr>
            <w:r w:rsidRPr="00C72774">
              <w:rPr>
                <w:iCs/>
              </w:rPr>
              <w:t xml:space="preserve"> Projekto tinkamų finansuoti išlaidų dalis, kurios nepadengia projektui skiriamo finansavimo lėšos</w:t>
            </w:r>
            <w:r>
              <w:rPr>
                <w:iCs/>
              </w:rPr>
              <w:t xml:space="preserve"> bus</w:t>
            </w:r>
            <w:r w:rsidRPr="00C72774">
              <w:rPr>
                <w:iCs/>
              </w:rPr>
              <w:t xml:space="preserve"> finansuojam</w:t>
            </w:r>
            <w:r>
              <w:rPr>
                <w:iCs/>
              </w:rPr>
              <w:t>os P</w:t>
            </w:r>
            <w:r w:rsidRPr="00C72774">
              <w:rPr>
                <w:iCs/>
              </w:rPr>
              <w:t>rojekto partnerių lėš</w:t>
            </w:r>
            <w:r>
              <w:rPr>
                <w:iCs/>
              </w:rPr>
              <w:t>omis</w:t>
            </w:r>
            <w:r w:rsidRPr="00C72774">
              <w:rPr>
                <w:iCs/>
              </w:rPr>
              <w:t>.</w:t>
            </w:r>
          </w:p>
          <w:p w14:paraId="286596B8" w14:textId="45738F29" w:rsidR="006C01DB" w:rsidRPr="00582B02" w:rsidRDefault="006C01DB" w:rsidP="00BA74C7">
            <w:pPr>
              <w:ind w:firstLine="454"/>
              <w:jc w:val="both"/>
              <w:rPr>
                <w:iCs/>
              </w:rPr>
            </w:pP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77777777" w:rsidR="00DD1F44" w:rsidRDefault="00FA4CC2" w:rsidP="00B70A7B">
            <w:pPr>
              <w:ind w:firstLine="596"/>
              <w:jc w:val="both"/>
              <w:rPr>
                <w:szCs w:val="24"/>
              </w:rPr>
            </w:pPr>
            <w:r w:rsidRPr="00FA4CC2">
              <w:rPr>
                <w:szCs w:val="24"/>
              </w:rPr>
              <w:t>Planavimo ir plėtros skyriaus viešojo administravimo institucijos specialistė Aušra Stakvilevičienė</w:t>
            </w:r>
          </w:p>
          <w:p w14:paraId="5ECDD0B6" w14:textId="22802EE3" w:rsidR="00E55662" w:rsidRDefault="00E55662" w:rsidP="00A04F87">
            <w:pPr>
              <w:jc w:val="both"/>
            </w:pP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12928F2" w14:textId="3EC08F6E" w:rsidR="003048E2" w:rsidRDefault="006B7BB3" w:rsidP="002A1966">
            <w:pPr>
              <w:ind w:firstLine="540"/>
              <w:jc w:val="both"/>
              <w:rPr>
                <w:sz w:val="23"/>
                <w:szCs w:val="23"/>
              </w:rPr>
            </w:pPr>
            <w:r>
              <w:rPr>
                <w:sz w:val="23"/>
                <w:szCs w:val="23"/>
              </w:rPr>
              <w:t xml:space="preserve">Sveikatos </w:t>
            </w:r>
            <w:r w:rsidR="00E72BE5">
              <w:rPr>
                <w:sz w:val="23"/>
                <w:szCs w:val="23"/>
              </w:rPr>
              <w:t>centrai</w:t>
            </w:r>
            <w:r w:rsidR="000C5057">
              <w:rPr>
                <w:sz w:val="23"/>
                <w:szCs w:val="23"/>
              </w:rPr>
              <w:t xml:space="preserve">, projektas, </w:t>
            </w:r>
            <w:r w:rsidR="004407F5">
              <w:rPr>
                <w:sz w:val="23"/>
                <w:szCs w:val="23"/>
              </w:rPr>
              <w:t>modelis, koordinatorius</w:t>
            </w:r>
            <w:r w:rsidR="002A1966">
              <w:rPr>
                <w:sz w:val="23"/>
                <w:szCs w:val="23"/>
              </w:rPr>
              <w:t>.</w:t>
            </w:r>
          </w:p>
          <w:p w14:paraId="225DEDFB" w14:textId="2A937822" w:rsidR="00E55662" w:rsidRDefault="00E55662" w:rsidP="00A04F87">
            <w:pPr>
              <w:ind w:firstLine="540"/>
            </w:pP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19D4AFDE" w14:textId="0F6B9F0F" w:rsidR="00E55662" w:rsidRDefault="003048E2" w:rsidP="00A04F87">
            <w:pPr>
              <w:jc w:val="both"/>
              <w:rPr>
                <w:szCs w:val="24"/>
              </w:rPr>
            </w:pPr>
            <w:r w:rsidRPr="003048E2">
              <w:rPr>
                <w:szCs w:val="24"/>
              </w:rPr>
              <w:t>-------------</w:t>
            </w:r>
          </w:p>
          <w:p w14:paraId="6768CF77" w14:textId="585631F8" w:rsidR="00BB68B8" w:rsidRDefault="00BB68B8" w:rsidP="00A04F87">
            <w:pPr>
              <w:jc w:val="both"/>
              <w:rPr>
                <w:sz w:val="22"/>
                <w:szCs w:val="22"/>
              </w:rPr>
            </w:pP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55D42C2E" w14:textId="77777777" w:rsidR="002A1966" w:rsidRDefault="002A1966" w:rsidP="00974D16">
      <w:pPr>
        <w:pStyle w:val="Pagrindiniotekstotrauka3"/>
        <w:spacing w:after="0"/>
        <w:rPr>
          <w:b/>
          <w:bCs/>
        </w:rPr>
      </w:pPr>
    </w:p>
    <w:p w14:paraId="462787EE" w14:textId="77777777" w:rsidR="002A1966" w:rsidRDefault="002A1966" w:rsidP="00974D16">
      <w:pPr>
        <w:pStyle w:val="Pagrindiniotekstotrauka3"/>
        <w:spacing w:after="0"/>
        <w:rPr>
          <w:b/>
          <w:bCs/>
        </w:rPr>
      </w:pPr>
    </w:p>
    <w:p w14:paraId="1C9B1AD0" w14:textId="77777777" w:rsidR="003048E2" w:rsidRPr="0008296B" w:rsidRDefault="003048E2" w:rsidP="00310DC9">
      <w:pPr>
        <w:pStyle w:val="Pagrindiniotekstotrauka3"/>
        <w:spacing w:after="0"/>
        <w:ind w:left="0"/>
        <w:jc w:val="both"/>
        <w:rPr>
          <w:bCs/>
          <w:sz w:val="24"/>
          <w:szCs w:val="24"/>
        </w:rPr>
      </w:pPr>
      <w:r w:rsidRPr="0008296B">
        <w:rPr>
          <w:bCs/>
          <w:sz w:val="24"/>
          <w:szCs w:val="24"/>
        </w:rPr>
        <w:t>Planavimo ir plėtros skyriaus</w:t>
      </w:r>
    </w:p>
    <w:p w14:paraId="4CFE9A7C" w14:textId="452BBD06" w:rsidR="00B55D2E" w:rsidRPr="0008296B" w:rsidRDefault="003048E2" w:rsidP="00310DC9">
      <w:pPr>
        <w:pStyle w:val="Pagrindiniotekstotrauka3"/>
        <w:spacing w:after="0"/>
        <w:ind w:hanging="283"/>
        <w:jc w:val="both"/>
        <w:rPr>
          <w:bCs/>
          <w:sz w:val="24"/>
          <w:szCs w:val="24"/>
        </w:rPr>
      </w:pPr>
      <w:r w:rsidRPr="0008296B">
        <w:rPr>
          <w:bCs/>
          <w:sz w:val="24"/>
          <w:szCs w:val="24"/>
        </w:rPr>
        <w:t>viešojo administravimo institucijos specialistė</w:t>
      </w:r>
      <w:r w:rsidR="00DD1F44" w:rsidRPr="0008296B">
        <w:rPr>
          <w:bCs/>
          <w:sz w:val="24"/>
          <w:szCs w:val="24"/>
        </w:rPr>
        <w:tab/>
      </w:r>
      <w:r w:rsidR="00B55D2E" w:rsidRPr="0008296B">
        <w:rPr>
          <w:bCs/>
          <w:sz w:val="24"/>
          <w:szCs w:val="24"/>
        </w:rPr>
        <w:t xml:space="preserve">                       </w:t>
      </w:r>
      <w:r w:rsidRPr="0008296B">
        <w:rPr>
          <w:bCs/>
          <w:sz w:val="24"/>
          <w:szCs w:val="24"/>
        </w:rPr>
        <w:tab/>
      </w:r>
      <w:r w:rsidRPr="0008296B">
        <w:rPr>
          <w:bCs/>
          <w:sz w:val="24"/>
          <w:szCs w:val="24"/>
        </w:rPr>
        <w:tab/>
        <w:t>Aušra Stakvilevičienė</w:t>
      </w:r>
      <w:r w:rsidR="00B55D2E" w:rsidRPr="0008296B">
        <w:rPr>
          <w:bCs/>
          <w:sz w:val="24"/>
          <w:szCs w:val="24"/>
        </w:rPr>
        <w:t xml:space="preserve">   </w:t>
      </w:r>
      <w:r w:rsidR="00B55D2E" w:rsidRPr="0008296B">
        <w:rPr>
          <w:bCs/>
          <w:sz w:val="24"/>
          <w:szCs w:val="24"/>
          <w:bdr w:val="single" w:sz="4" w:space="0" w:color="auto"/>
        </w:rPr>
        <w:t xml:space="preserve">              </w:t>
      </w:r>
      <w:r w:rsidR="00B55D2E" w:rsidRPr="0008296B">
        <w:rPr>
          <w:bCs/>
          <w:sz w:val="24"/>
          <w:szCs w:val="24"/>
        </w:rPr>
        <w:t xml:space="preserve">                                   </w:t>
      </w:r>
    </w:p>
    <w:sectPr w:rsidR="00B55D2E" w:rsidRPr="0008296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0EFC4" w14:textId="77777777" w:rsidR="00D038F4" w:rsidRDefault="00D038F4">
      <w:r>
        <w:separator/>
      </w:r>
    </w:p>
  </w:endnote>
  <w:endnote w:type="continuationSeparator" w:id="0">
    <w:p w14:paraId="485F3663" w14:textId="77777777" w:rsidR="00D038F4" w:rsidRDefault="00D0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7BEB" w14:textId="77777777" w:rsidR="00D038F4" w:rsidRDefault="00D038F4">
      <w:r>
        <w:separator/>
      </w:r>
    </w:p>
  </w:footnote>
  <w:footnote w:type="continuationSeparator" w:id="0">
    <w:p w14:paraId="394B0EBD" w14:textId="77777777" w:rsidR="00D038F4" w:rsidRDefault="00D0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DC3">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52E64"/>
    <w:multiLevelType w:val="hybridMultilevel"/>
    <w:tmpl w:val="EE409568"/>
    <w:lvl w:ilvl="0" w:tplc="CC10146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28AC0A14"/>
    <w:multiLevelType w:val="hybridMultilevel"/>
    <w:tmpl w:val="8E5E26A2"/>
    <w:lvl w:ilvl="0" w:tplc="35FEE270">
      <w:start w:val="1"/>
      <w:numFmt w:val="decimal"/>
      <w:lvlText w:val="%1."/>
      <w:lvlJc w:val="left"/>
      <w:pPr>
        <w:ind w:left="1440" w:hanging="90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39A47F71"/>
    <w:multiLevelType w:val="hybridMultilevel"/>
    <w:tmpl w:val="0646223A"/>
    <w:lvl w:ilvl="0" w:tplc="A120C452">
      <w:start w:val="1"/>
      <w:numFmt w:val="decimal"/>
      <w:lvlText w:val="%1)"/>
      <w:lvlJc w:val="left"/>
      <w:pPr>
        <w:ind w:left="818" w:hanging="360"/>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3"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4"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7C5A6A2D"/>
    <w:multiLevelType w:val="hybridMultilevel"/>
    <w:tmpl w:val="5092430C"/>
    <w:lvl w:ilvl="0" w:tplc="7F38F0EC">
      <w:start w:val="1"/>
      <w:numFmt w:val="bullet"/>
      <w:lvlText w:val="–"/>
      <w:lvlJc w:val="left"/>
      <w:pPr>
        <w:ind w:left="949" w:hanging="360"/>
      </w:pPr>
      <w:rPr>
        <w:rFonts w:ascii="Times New Roman" w:eastAsia="Times New Roman" w:hAnsi="Times New Roman" w:cs="Times New Roman" w:hint="default"/>
        <w:i w:val="0"/>
        <w:color w:val="000000"/>
        <w:u w:val="none"/>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num w:numId="1" w16cid:durableId="2048019964">
    <w:abstractNumId w:val="3"/>
  </w:num>
  <w:num w:numId="2" w16cid:durableId="1572426095">
    <w:abstractNumId w:val="5"/>
  </w:num>
  <w:num w:numId="3" w16cid:durableId="1683782710">
    <w:abstractNumId w:val="4"/>
  </w:num>
  <w:num w:numId="4" w16cid:durableId="1000891713">
    <w:abstractNumId w:val="6"/>
  </w:num>
  <w:num w:numId="5" w16cid:durableId="792940861">
    <w:abstractNumId w:val="0"/>
  </w:num>
  <w:num w:numId="6" w16cid:durableId="447353353">
    <w:abstractNumId w:val="1"/>
  </w:num>
  <w:num w:numId="7" w16cid:durableId="79838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23226"/>
    <w:rsid w:val="00030478"/>
    <w:rsid w:val="00035141"/>
    <w:rsid w:val="000734BA"/>
    <w:rsid w:val="0008296B"/>
    <w:rsid w:val="000B6238"/>
    <w:rsid w:val="000C5057"/>
    <w:rsid w:val="000D7661"/>
    <w:rsid w:val="00116812"/>
    <w:rsid w:val="001408E2"/>
    <w:rsid w:val="00152AEE"/>
    <w:rsid w:val="00165155"/>
    <w:rsid w:val="001C253E"/>
    <w:rsid w:val="001E2D1D"/>
    <w:rsid w:val="0021078F"/>
    <w:rsid w:val="00211530"/>
    <w:rsid w:val="00214604"/>
    <w:rsid w:val="002267A5"/>
    <w:rsid w:val="0023330F"/>
    <w:rsid w:val="00270B07"/>
    <w:rsid w:val="00274633"/>
    <w:rsid w:val="00283E93"/>
    <w:rsid w:val="002943A3"/>
    <w:rsid w:val="00296440"/>
    <w:rsid w:val="002A1966"/>
    <w:rsid w:val="002A21FD"/>
    <w:rsid w:val="002B279D"/>
    <w:rsid w:val="002D3999"/>
    <w:rsid w:val="003048E2"/>
    <w:rsid w:val="003079BB"/>
    <w:rsid w:val="00310DC9"/>
    <w:rsid w:val="00316068"/>
    <w:rsid w:val="00322C9A"/>
    <w:rsid w:val="00325B6D"/>
    <w:rsid w:val="00326147"/>
    <w:rsid w:val="00330F8B"/>
    <w:rsid w:val="00341D4D"/>
    <w:rsid w:val="00367CB8"/>
    <w:rsid w:val="003751CD"/>
    <w:rsid w:val="003B62B7"/>
    <w:rsid w:val="003C783E"/>
    <w:rsid w:val="003E44A1"/>
    <w:rsid w:val="003F5109"/>
    <w:rsid w:val="00414014"/>
    <w:rsid w:val="0042230F"/>
    <w:rsid w:val="00423FB4"/>
    <w:rsid w:val="004407F5"/>
    <w:rsid w:val="0044309A"/>
    <w:rsid w:val="00464375"/>
    <w:rsid w:val="0047544E"/>
    <w:rsid w:val="004A3D6F"/>
    <w:rsid w:val="005275CE"/>
    <w:rsid w:val="00533B75"/>
    <w:rsid w:val="0054068A"/>
    <w:rsid w:val="005430B2"/>
    <w:rsid w:val="00566739"/>
    <w:rsid w:val="00582B02"/>
    <w:rsid w:val="005C1CCF"/>
    <w:rsid w:val="005D1983"/>
    <w:rsid w:val="006100CA"/>
    <w:rsid w:val="006212F4"/>
    <w:rsid w:val="006645EE"/>
    <w:rsid w:val="006A70E5"/>
    <w:rsid w:val="006B4E1A"/>
    <w:rsid w:val="006B7BB3"/>
    <w:rsid w:val="006C01DB"/>
    <w:rsid w:val="006E14BD"/>
    <w:rsid w:val="00716F4C"/>
    <w:rsid w:val="00725A2C"/>
    <w:rsid w:val="00731EFD"/>
    <w:rsid w:val="00750139"/>
    <w:rsid w:val="00774554"/>
    <w:rsid w:val="0078117C"/>
    <w:rsid w:val="00797721"/>
    <w:rsid w:val="007D156C"/>
    <w:rsid w:val="0080318D"/>
    <w:rsid w:val="008103CB"/>
    <w:rsid w:val="00815D30"/>
    <w:rsid w:val="0082650E"/>
    <w:rsid w:val="008451A7"/>
    <w:rsid w:val="00870339"/>
    <w:rsid w:val="00873BBF"/>
    <w:rsid w:val="008A1957"/>
    <w:rsid w:val="008B381B"/>
    <w:rsid w:val="008C7949"/>
    <w:rsid w:val="008D07F1"/>
    <w:rsid w:val="008D12F8"/>
    <w:rsid w:val="008E22C6"/>
    <w:rsid w:val="008F2B37"/>
    <w:rsid w:val="008F3337"/>
    <w:rsid w:val="008F5988"/>
    <w:rsid w:val="00923661"/>
    <w:rsid w:val="00931793"/>
    <w:rsid w:val="00963944"/>
    <w:rsid w:val="00974D16"/>
    <w:rsid w:val="009B4FA3"/>
    <w:rsid w:val="00A00362"/>
    <w:rsid w:val="00A04F87"/>
    <w:rsid w:val="00A16F7A"/>
    <w:rsid w:val="00A27A1D"/>
    <w:rsid w:val="00A4287F"/>
    <w:rsid w:val="00A439BF"/>
    <w:rsid w:val="00A7137E"/>
    <w:rsid w:val="00A75C5B"/>
    <w:rsid w:val="00A75DC3"/>
    <w:rsid w:val="00A771D6"/>
    <w:rsid w:val="00A779B3"/>
    <w:rsid w:val="00A82582"/>
    <w:rsid w:val="00AC6537"/>
    <w:rsid w:val="00AE38E9"/>
    <w:rsid w:val="00AE634D"/>
    <w:rsid w:val="00B02645"/>
    <w:rsid w:val="00B03E5C"/>
    <w:rsid w:val="00B11AC2"/>
    <w:rsid w:val="00B144DA"/>
    <w:rsid w:val="00B55D2E"/>
    <w:rsid w:val="00B70A7B"/>
    <w:rsid w:val="00BA74C7"/>
    <w:rsid w:val="00BB68B8"/>
    <w:rsid w:val="00BC5331"/>
    <w:rsid w:val="00BC57A6"/>
    <w:rsid w:val="00C27561"/>
    <w:rsid w:val="00C51764"/>
    <w:rsid w:val="00C62447"/>
    <w:rsid w:val="00C65E12"/>
    <w:rsid w:val="00C72774"/>
    <w:rsid w:val="00C745A3"/>
    <w:rsid w:val="00C747BE"/>
    <w:rsid w:val="00C81389"/>
    <w:rsid w:val="00C87A55"/>
    <w:rsid w:val="00CB1A60"/>
    <w:rsid w:val="00CB5CF9"/>
    <w:rsid w:val="00CB7FF1"/>
    <w:rsid w:val="00CC0A44"/>
    <w:rsid w:val="00D038F4"/>
    <w:rsid w:val="00D3443B"/>
    <w:rsid w:val="00D56540"/>
    <w:rsid w:val="00DA2660"/>
    <w:rsid w:val="00DB5475"/>
    <w:rsid w:val="00DD1F44"/>
    <w:rsid w:val="00E12E10"/>
    <w:rsid w:val="00E35AC6"/>
    <w:rsid w:val="00E409F4"/>
    <w:rsid w:val="00E517EC"/>
    <w:rsid w:val="00E55662"/>
    <w:rsid w:val="00E562E2"/>
    <w:rsid w:val="00E72BE5"/>
    <w:rsid w:val="00EA1821"/>
    <w:rsid w:val="00EB1AF7"/>
    <w:rsid w:val="00ED4EE4"/>
    <w:rsid w:val="00EE61B5"/>
    <w:rsid w:val="00EF4F54"/>
    <w:rsid w:val="00F123E3"/>
    <w:rsid w:val="00F2137A"/>
    <w:rsid w:val="00F279F2"/>
    <w:rsid w:val="00F76CB0"/>
    <w:rsid w:val="00F82DDF"/>
    <w:rsid w:val="00FA180A"/>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4902F880-41DA-4556-91E0-02CC05BC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1125-000C-4244-A9C7-12A407F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8086</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2022-05-05T13:08:00Z</dcterms:created>
  <dcterms:modified xsi:type="dcterms:W3CDTF">2024-07-12T08:10:00Z</dcterms:modified>
</cp:coreProperties>
</file>