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340AE" w14:textId="088F5251" w:rsidR="009626C5" w:rsidRDefault="009626C5">
      <w:pPr>
        <w:keepNext/>
        <w:tabs>
          <w:tab w:val="left" w:pos="1296"/>
        </w:tabs>
        <w:spacing w:after="0" w:line="240" w:lineRule="auto"/>
        <w:jc w:val="center"/>
      </w:pPr>
      <w:r>
        <w:rPr>
          <w:rFonts w:ascii="Times New Roman" w:eastAsia="Times New Roman" w:hAnsi="Times New Roman"/>
          <w:b/>
          <w:caps/>
          <w:sz w:val="24"/>
          <w:szCs w:val="24"/>
          <w:lang w:eastAsia="lt-LT"/>
        </w:rPr>
        <w:t xml:space="preserve">                                                                                                                </w:t>
      </w:r>
    </w:p>
    <w:p w14:paraId="077C217B" w14:textId="77777777" w:rsidR="009626C5" w:rsidRDefault="009626C5" w:rsidP="00900AEA">
      <w:pPr>
        <w:spacing w:after="0" w:line="240" w:lineRule="auto"/>
        <w:jc w:val="center"/>
      </w:pPr>
      <w:r>
        <w:rPr>
          <w:rFonts w:ascii="Times New Roman" w:hAnsi="Times New Roman"/>
          <w:b/>
          <w:bCs/>
          <w:sz w:val="24"/>
          <w:szCs w:val="24"/>
        </w:rPr>
        <w:t>ŠILUTĖS RAJONO SAVIVALDYBĖS ADMINISTRACIJOS</w:t>
      </w:r>
    </w:p>
    <w:p w14:paraId="401D1D96" w14:textId="77777777" w:rsidR="009626C5" w:rsidRDefault="009626C5" w:rsidP="00900AEA">
      <w:pPr>
        <w:pStyle w:val="Antrat10"/>
      </w:pPr>
      <w:r>
        <w:t xml:space="preserve">ŪKIO SKYRIUS </w:t>
      </w:r>
    </w:p>
    <w:p w14:paraId="3804DC48" w14:textId="77777777" w:rsidR="009626C5" w:rsidRDefault="009626C5">
      <w:pPr>
        <w:pStyle w:val="Paantrat"/>
      </w:pPr>
    </w:p>
    <w:p w14:paraId="2D83995D" w14:textId="77777777" w:rsidR="009626C5" w:rsidRDefault="009626C5">
      <w:pPr>
        <w:pStyle w:val="Paantrat"/>
      </w:pPr>
      <w:r>
        <w:t>AIŠKINAMASIS RAŠTAS</w:t>
      </w:r>
    </w:p>
    <w:p w14:paraId="7EA9D685" w14:textId="55ED3B30" w:rsidR="00DC52D6" w:rsidRDefault="00225801" w:rsidP="00DC52D6">
      <w:pPr>
        <w:shd w:val="clear" w:color="auto" w:fill="FFFFFF"/>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DĖL TARYBOS SPRENDIMO „</w:t>
      </w:r>
      <w:r w:rsidR="00900AEA">
        <w:rPr>
          <w:rFonts w:ascii="Times New Roman" w:hAnsi="Times New Roman"/>
          <w:b/>
          <w:bCs/>
          <w:sz w:val="24"/>
          <w:szCs w:val="24"/>
          <w:lang w:eastAsia="lt-LT"/>
        </w:rPr>
        <w:t>DĖ</w:t>
      </w:r>
      <w:r w:rsidR="007A16E7">
        <w:rPr>
          <w:rFonts w:ascii="Times New Roman" w:hAnsi="Times New Roman"/>
          <w:b/>
          <w:bCs/>
          <w:sz w:val="24"/>
          <w:szCs w:val="24"/>
          <w:lang w:eastAsia="lt-LT"/>
        </w:rPr>
        <w:t>L</w:t>
      </w:r>
      <w:r w:rsidR="00A041D0">
        <w:rPr>
          <w:rFonts w:ascii="Times New Roman" w:hAnsi="Times New Roman"/>
          <w:b/>
          <w:bCs/>
          <w:sz w:val="24"/>
          <w:szCs w:val="24"/>
          <w:lang w:eastAsia="lt-LT"/>
        </w:rPr>
        <w:t xml:space="preserve"> ŠILUTĖS RAJONO SAVIVALDYBĖS BŪSTO NUOMOS AR IŠPERKAMOSIOS BŪSTO NUOMOS MOKESČIŲ DALIES KOMPENSACIJŲ MOKĖJIMO IR PERMOKĖTŲ KOMPENSACIJŲ GRĄŽINIMO TVARKOS APRAŠO PATVIRTINIMO</w:t>
      </w:r>
      <w:r>
        <w:rPr>
          <w:rFonts w:ascii="Times New Roman" w:hAnsi="Times New Roman"/>
          <w:b/>
          <w:bCs/>
          <w:sz w:val="24"/>
          <w:szCs w:val="24"/>
          <w:lang w:eastAsia="lt-LT"/>
        </w:rPr>
        <w:t>“ PROJEKTO</w:t>
      </w:r>
    </w:p>
    <w:p w14:paraId="65C530F4" w14:textId="77777777" w:rsidR="009963D2" w:rsidRDefault="009963D2" w:rsidP="00DC52D6">
      <w:pPr>
        <w:shd w:val="clear" w:color="auto" w:fill="FFFFFF"/>
        <w:spacing w:after="0" w:line="240" w:lineRule="auto"/>
        <w:jc w:val="center"/>
        <w:rPr>
          <w:rFonts w:ascii="Times New Roman" w:hAnsi="Times New Roman"/>
          <w:b/>
          <w:bCs/>
          <w:caps/>
          <w:color w:val="212529"/>
          <w:sz w:val="24"/>
          <w:szCs w:val="24"/>
          <w:lang w:eastAsia="en-US"/>
        </w:rPr>
      </w:pPr>
    </w:p>
    <w:p w14:paraId="41AE6CED" w14:textId="1876FB55" w:rsidR="009626C5" w:rsidRDefault="009626C5">
      <w:pPr>
        <w:tabs>
          <w:tab w:val="left" w:pos="567"/>
        </w:tabs>
        <w:jc w:val="center"/>
      </w:pPr>
      <w:r>
        <w:rPr>
          <w:rFonts w:ascii="Times New Roman" w:hAnsi="Times New Roman"/>
          <w:sz w:val="24"/>
          <w:szCs w:val="24"/>
        </w:rPr>
        <w:t>202</w:t>
      </w:r>
      <w:r w:rsidR="00DC52D6">
        <w:rPr>
          <w:rFonts w:ascii="Times New Roman" w:hAnsi="Times New Roman"/>
          <w:sz w:val="24"/>
          <w:szCs w:val="24"/>
        </w:rPr>
        <w:t>4</w:t>
      </w:r>
      <w:r>
        <w:rPr>
          <w:rFonts w:ascii="Times New Roman" w:hAnsi="Times New Roman"/>
          <w:sz w:val="24"/>
          <w:szCs w:val="24"/>
        </w:rPr>
        <w:t xml:space="preserve"> m. </w:t>
      </w:r>
      <w:r w:rsidR="00047881">
        <w:rPr>
          <w:rFonts w:ascii="Times New Roman" w:hAnsi="Times New Roman"/>
          <w:sz w:val="24"/>
          <w:szCs w:val="24"/>
        </w:rPr>
        <w:t>liepos</w:t>
      </w:r>
      <w:r>
        <w:rPr>
          <w:rFonts w:ascii="Times New Roman" w:hAnsi="Times New Roman"/>
          <w:sz w:val="24"/>
          <w:szCs w:val="24"/>
        </w:rPr>
        <w:t xml:space="preserve"> </w:t>
      </w:r>
      <w:r w:rsidR="00610695">
        <w:rPr>
          <w:rFonts w:ascii="Times New Roman" w:hAnsi="Times New Roman"/>
          <w:sz w:val="24"/>
          <w:szCs w:val="24"/>
        </w:rPr>
        <w:t xml:space="preserve"> </w:t>
      </w:r>
      <w:r w:rsidR="00040082">
        <w:rPr>
          <w:rFonts w:ascii="Times New Roman" w:hAnsi="Times New Roman"/>
          <w:sz w:val="24"/>
          <w:szCs w:val="24"/>
        </w:rPr>
        <w:t xml:space="preserve"> </w:t>
      </w:r>
      <w:r>
        <w:rPr>
          <w:rFonts w:ascii="Times New Roman" w:hAnsi="Times New Roman"/>
          <w:sz w:val="24"/>
          <w:szCs w:val="24"/>
        </w:rPr>
        <w:t>d.</w:t>
      </w:r>
    </w:p>
    <w:p w14:paraId="5B95A014" w14:textId="77777777" w:rsidR="009626C5" w:rsidRDefault="009626C5">
      <w:pPr>
        <w:tabs>
          <w:tab w:val="left" w:pos="0"/>
        </w:tabs>
        <w:jc w:val="center"/>
      </w:pPr>
      <w:r>
        <w:rPr>
          <w:rFonts w:ascii="Times New Roman" w:hAnsi="Times New Roman"/>
          <w:sz w:val="24"/>
          <w:szCs w:val="24"/>
        </w:rPr>
        <w:t>Šilutė</w:t>
      </w:r>
    </w:p>
    <w:tbl>
      <w:tblPr>
        <w:tblW w:w="9854" w:type="dxa"/>
        <w:tblLayout w:type="fixed"/>
        <w:tblLook w:val="0000" w:firstRow="0" w:lastRow="0" w:firstColumn="0" w:lastColumn="0" w:noHBand="0" w:noVBand="0"/>
      </w:tblPr>
      <w:tblGrid>
        <w:gridCol w:w="9854"/>
      </w:tblGrid>
      <w:tr w:rsidR="009626C5" w14:paraId="2F9E6DEA" w14:textId="77777777" w:rsidTr="00862D34">
        <w:tc>
          <w:tcPr>
            <w:tcW w:w="9854" w:type="dxa"/>
            <w:shd w:val="clear" w:color="auto" w:fill="auto"/>
          </w:tcPr>
          <w:p w14:paraId="09E33CE6" w14:textId="2482504E" w:rsidR="00A041D0" w:rsidRPr="00A041D0" w:rsidRDefault="009626C5" w:rsidP="00A041D0">
            <w:pPr>
              <w:pStyle w:val="Sraopastraipa"/>
              <w:numPr>
                <w:ilvl w:val="0"/>
                <w:numId w:val="2"/>
              </w:numPr>
              <w:tabs>
                <w:tab w:val="left" w:pos="0"/>
              </w:tabs>
              <w:rPr>
                <w:sz w:val="24"/>
                <w:szCs w:val="24"/>
              </w:rPr>
            </w:pPr>
            <w:r w:rsidRPr="00A041D0">
              <w:rPr>
                <w:b/>
                <w:bCs/>
                <w:i/>
                <w:iCs/>
                <w:sz w:val="24"/>
                <w:szCs w:val="24"/>
              </w:rPr>
              <w:t>Parengto projekto tikslai ir uždavinia</w:t>
            </w:r>
            <w:r w:rsidR="00A041D0">
              <w:rPr>
                <w:b/>
                <w:bCs/>
                <w:i/>
                <w:iCs/>
                <w:sz w:val="24"/>
                <w:szCs w:val="24"/>
              </w:rPr>
              <w:t>i.</w:t>
            </w:r>
          </w:p>
          <w:p w14:paraId="0D8E8559" w14:textId="2BCC0574" w:rsidR="00A041D0" w:rsidRPr="00A041D0" w:rsidRDefault="00225801" w:rsidP="008A53A0">
            <w:pPr>
              <w:pStyle w:val="Sraopastraipa"/>
              <w:tabs>
                <w:tab w:val="left" w:pos="0"/>
              </w:tabs>
              <w:ind w:left="37" w:firstLine="712"/>
              <w:jc w:val="both"/>
              <w:rPr>
                <w:sz w:val="24"/>
                <w:szCs w:val="24"/>
              </w:rPr>
            </w:pPr>
            <w:r>
              <w:rPr>
                <w:sz w:val="24"/>
                <w:szCs w:val="24"/>
              </w:rPr>
              <w:t xml:space="preserve">Patvirtinti naują </w:t>
            </w:r>
            <w:r w:rsidR="00406C81">
              <w:rPr>
                <w:sz w:val="24"/>
                <w:szCs w:val="24"/>
              </w:rPr>
              <w:t>Šilutės rajono savivaldybės būsto nuomos ar išperkamosios būsto nuomos mokesčių dalies kompensacijų mokėjimo ir permokėtų kompensacijų grąžinimo tvarkos apraš</w:t>
            </w:r>
            <w:r>
              <w:rPr>
                <w:sz w:val="24"/>
                <w:szCs w:val="24"/>
              </w:rPr>
              <w:t>ą, kad jis atitiktų šiuo metu galiojančio Paramos būstui įsigyti ar išsinuomoti įstatymo nuostatas</w:t>
            </w:r>
            <w:r w:rsidR="00732AFE">
              <w:rPr>
                <w:sz w:val="24"/>
                <w:szCs w:val="24"/>
              </w:rPr>
              <w:t>.</w:t>
            </w:r>
          </w:p>
        </w:tc>
      </w:tr>
      <w:tr w:rsidR="009626C5" w14:paraId="50D79D59" w14:textId="77777777" w:rsidTr="00862D34">
        <w:tc>
          <w:tcPr>
            <w:tcW w:w="9854" w:type="dxa"/>
            <w:shd w:val="clear" w:color="auto" w:fill="auto"/>
          </w:tcPr>
          <w:p w14:paraId="45C92685" w14:textId="1FCD755F" w:rsidR="00592098" w:rsidRPr="00592098" w:rsidRDefault="00592098" w:rsidP="00F446CA">
            <w:pPr>
              <w:tabs>
                <w:tab w:val="left" w:pos="567"/>
              </w:tabs>
              <w:jc w:val="both"/>
              <w:rPr>
                <w:rFonts w:ascii="Times New Roman" w:hAnsi="Times New Roman"/>
                <w:sz w:val="24"/>
                <w:szCs w:val="24"/>
                <w:lang w:eastAsia="lt-LT"/>
              </w:rPr>
            </w:pPr>
          </w:p>
        </w:tc>
      </w:tr>
      <w:tr w:rsidR="009626C5" w14:paraId="2334AFC9" w14:textId="77777777" w:rsidTr="00862D34">
        <w:tc>
          <w:tcPr>
            <w:tcW w:w="9854" w:type="dxa"/>
            <w:shd w:val="clear" w:color="auto" w:fill="auto"/>
          </w:tcPr>
          <w:p w14:paraId="719AF355" w14:textId="3C0027BC" w:rsidR="009626C5" w:rsidRPr="00CD21A9" w:rsidRDefault="00592098" w:rsidP="00CD21A9">
            <w:pPr>
              <w:pStyle w:val="Sraopastraipa"/>
              <w:numPr>
                <w:ilvl w:val="0"/>
                <w:numId w:val="2"/>
              </w:numPr>
              <w:tabs>
                <w:tab w:val="left" w:pos="0"/>
              </w:tabs>
              <w:rPr>
                <w:b/>
                <w:bCs/>
                <w:i/>
                <w:iCs/>
                <w:sz w:val="24"/>
                <w:szCs w:val="24"/>
              </w:rPr>
            </w:pPr>
            <w:r w:rsidRPr="00CD21A9">
              <w:rPr>
                <w:b/>
                <w:bCs/>
                <w:i/>
                <w:iCs/>
                <w:sz w:val="24"/>
                <w:szCs w:val="24"/>
              </w:rPr>
              <w:t>Projekto rengimo priežastys ir kuo remiantis parengtas sprendimo projektas.</w:t>
            </w:r>
          </w:p>
          <w:p w14:paraId="2EB8146C" w14:textId="77777777" w:rsidR="000E4C19" w:rsidRDefault="00CD21A9" w:rsidP="00CD21A9">
            <w:pPr>
              <w:pStyle w:val="Sraopastraipa"/>
              <w:tabs>
                <w:tab w:val="left" w:pos="0"/>
              </w:tabs>
              <w:ind w:left="37"/>
              <w:rPr>
                <w:sz w:val="24"/>
                <w:szCs w:val="24"/>
              </w:rPr>
            </w:pPr>
            <w:r>
              <w:rPr>
                <w:sz w:val="24"/>
                <w:szCs w:val="24"/>
              </w:rPr>
              <w:t xml:space="preserve">       </w:t>
            </w:r>
          </w:p>
          <w:p w14:paraId="7ABC41C9" w14:textId="649D278E" w:rsidR="00CD21A9" w:rsidRPr="00CD21A9" w:rsidRDefault="000E4C19" w:rsidP="00225801">
            <w:pPr>
              <w:pStyle w:val="Sraopastraipa"/>
              <w:tabs>
                <w:tab w:val="left" w:pos="0"/>
              </w:tabs>
              <w:ind w:left="37"/>
              <w:jc w:val="both"/>
              <w:rPr>
                <w:sz w:val="24"/>
                <w:szCs w:val="24"/>
              </w:rPr>
            </w:pPr>
            <w:r>
              <w:rPr>
                <w:sz w:val="24"/>
                <w:szCs w:val="24"/>
              </w:rPr>
              <w:t xml:space="preserve">          </w:t>
            </w:r>
            <w:r w:rsidR="00CD21A9" w:rsidRPr="00CD21A9">
              <w:rPr>
                <w:sz w:val="24"/>
                <w:szCs w:val="24"/>
              </w:rPr>
              <w:t xml:space="preserve">Pagal Lietuvos Respublikos vietos savivaldos įstatymo </w:t>
            </w:r>
            <w:r w:rsidR="00A7220F">
              <w:rPr>
                <w:sz w:val="24"/>
                <w:szCs w:val="24"/>
              </w:rPr>
              <w:t>6 straipsnio 15 punkt</w:t>
            </w:r>
            <w:r w:rsidR="00225801">
              <w:rPr>
                <w:sz w:val="24"/>
                <w:szCs w:val="24"/>
              </w:rPr>
              <w:t>ą</w:t>
            </w:r>
            <w:r w:rsidR="00A7220F">
              <w:rPr>
                <w:sz w:val="24"/>
                <w:szCs w:val="24"/>
              </w:rPr>
              <w:t xml:space="preserve"> ir 15 straipsnio 2 dalies 23 punkt</w:t>
            </w:r>
            <w:r w:rsidR="00225801">
              <w:rPr>
                <w:sz w:val="24"/>
                <w:szCs w:val="24"/>
              </w:rPr>
              <w:t>ą</w:t>
            </w:r>
            <w:r w:rsidR="00CD21A9" w:rsidRPr="00CD21A9">
              <w:rPr>
                <w:sz w:val="24"/>
                <w:szCs w:val="24"/>
              </w:rPr>
              <w:t xml:space="preserve"> išimtinė savivaldybės tarybos kompetencija yra </w:t>
            </w:r>
            <w:r w:rsidR="00225801" w:rsidRPr="008A53A0">
              <w:rPr>
                <w:color w:val="000000"/>
                <w:sz w:val="24"/>
                <w:szCs w:val="24"/>
              </w:rPr>
              <w:t>sprendimų dėl savivaldybės būsto ir socialinio būsto fondo sudarymo (statybos, pirkimo ir kitų) tvarkos, būsto suteikimo tvarkos ir nuomos mokesčio dydžio priėmimas, kitų sprendimų, numatytų Paramos būstui įsigyti ar išsinuomoti įstatyme, priėmimas</w:t>
            </w:r>
            <w:r w:rsidR="00225801">
              <w:rPr>
                <w:color w:val="000000"/>
                <w:sz w:val="24"/>
                <w:szCs w:val="24"/>
              </w:rPr>
              <w:t xml:space="preserve">. </w:t>
            </w:r>
            <w:r w:rsidR="008A53A0">
              <w:rPr>
                <w:sz w:val="24"/>
                <w:szCs w:val="24"/>
              </w:rPr>
              <w:t xml:space="preserve"> 17 straipsnio 4 dalimi </w:t>
            </w:r>
            <w:r w:rsidR="008377FF">
              <w:rPr>
                <w:sz w:val="24"/>
                <w:szCs w:val="24"/>
              </w:rPr>
              <w:t xml:space="preserve">inicijavo šio </w:t>
            </w:r>
            <w:r w:rsidR="00732AFE">
              <w:rPr>
                <w:sz w:val="24"/>
                <w:szCs w:val="24"/>
              </w:rPr>
              <w:t>T</w:t>
            </w:r>
            <w:r w:rsidR="008377FF">
              <w:rPr>
                <w:sz w:val="24"/>
                <w:szCs w:val="24"/>
              </w:rPr>
              <w:t>arybos sprendimo projekto parengimą.</w:t>
            </w:r>
          </w:p>
        </w:tc>
      </w:tr>
      <w:tr w:rsidR="009626C5" w14:paraId="7313A0A5" w14:textId="77777777" w:rsidTr="00862D34">
        <w:tc>
          <w:tcPr>
            <w:tcW w:w="9854" w:type="dxa"/>
            <w:shd w:val="clear" w:color="auto" w:fill="auto"/>
          </w:tcPr>
          <w:p w14:paraId="37487DEC" w14:textId="6E456D2B" w:rsidR="009626C5" w:rsidRDefault="009626C5">
            <w:pPr>
              <w:ind w:firstLine="709"/>
              <w:jc w:val="both"/>
            </w:pPr>
          </w:p>
        </w:tc>
      </w:tr>
      <w:tr w:rsidR="009626C5" w14:paraId="48BD9142" w14:textId="77777777" w:rsidTr="00862D34">
        <w:tc>
          <w:tcPr>
            <w:tcW w:w="9854" w:type="dxa"/>
            <w:shd w:val="clear" w:color="auto" w:fill="auto"/>
          </w:tcPr>
          <w:p w14:paraId="5306D8F2" w14:textId="77777777" w:rsidR="009626C5" w:rsidRDefault="009626C5">
            <w:pPr>
              <w:tabs>
                <w:tab w:val="left" w:pos="0"/>
              </w:tabs>
            </w:pPr>
            <w:r>
              <w:rPr>
                <w:rFonts w:ascii="Times New Roman" w:hAnsi="Times New Roman"/>
                <w:b/>
                <w:bCs/>
                <w:i/>
                <w:iCs/>
                <w:sz w:val="24"/>
                <w:szCs w:val="24"/>
              </w:rPr>
              <w:t>3. Kokių pozityvių rezultatų laukiama.</w:t>
            </w:r>
          </w:p>
        </w:tc>
      </w:tr>
      <w:tr w:rsidR="009626C5" w14:paraId="11BCCCF9" w14:textId="77777777" w:rsidTr="00862D34">
        <w:tc>
          <w:tcPr>
            <w:tcW w:w="9854" w:type="dxa"/>
            <w:shd w:val="clear" w:color="auto" w:fill="auto"/>
          </w:tcPr>
          <w:p w14:paraId="2B7A668C" w14:textId="55D37CD9" w:rsidR="009626C5" w:rsidRPr="007B0F1C" w:rsidRDefault="00E97A21" w:rsidP="00D67574">
            <w:pPr>
              <w:ind w:firstLine="37"/>
              <w:jc w:val="both"/>
              <w:rPr>
                <w:rFonts w:ascii="Times New Roman" w:hAnsi="Times New Roman"/>
                <w:sz w:val="24"/>
                <w:szCs w:val="24"/>
              </w:rPr>
            </w:pPr>
            <w:r>
              <w:rPr>
                <w:rFonts w:ascii="Times New Roman" w:hAnsi="Times New Roman"/>
                <w:sz w:val="24"/>
                <w:szCs w:val="24"/>
              </w:rPr>
              <w:t xml:space="preserve">        </w:t>
            </w:r>
            <w:r w:rsidR="00354A21" w:rsidRPr="007B0F1C">
              <w:rPr>
                <w:rFonts w:ascii="Times New Roman" w:hAnsi="Times New Roman"/>
                <w:sz w:val="24"/>
                <w:szCs w:val="24"/>
              </w:rPr>
              <w:t>P</w:t>
            </w:r>
            <w:r w:rsidR="000B3044">
              <w:rPr>
                <w:rFonts w:ascii="Times New Roman" w:hAnsi="Times New Roman"/>
                <w:sz w:val="24"/>
                <w:szCs w:val="24"/>
              </w:rPr>
              <w:t xml:space="preserve">ritarus sprendimo projektui bus pakeista būsto nuomos kompensacijos </w:t>
            </w:r>
            <w:r>
              <w:rPr>
                <w:rFonts w:ascii="Times New Roman" w:hAnsi="Times New Roman"/>
                <w:sz w:val="24"/>
                <w:szCs w:val="24"/>
              </w:rPr>
              <w:t>skaičiavimo tvarka</w:t>
            </w:r>
            <w:r w:rsidR="00D67574">
              <w:rPr>
                <w:rFonts w:ascii="Times New Roman" w:hAnsi="Times New Roman"/>
                <w:sz w:val="24"/>
                <w:szCs w:val="24"/>
              </w:rPr>
              <w:t>,</w:t>
            </w:r>
            <w:r>
              <w:rPr>
                <w:rFonts w:ascii="Times New Roman" w:hAnsi="Times New Roman"/>
                <w:sz w:val="24"/>
                <w:szCs w:val="24"/>
              </w:rPr>
              <w:t xml:space="preserve"> </w:t>
            </w:r>
            <w:r w:rsidR="00D67574">
              <w:rPr>
                <w:rFonts w:ascii="Times New Roman" w:hAnsi="Times New Roman"/>
                <w:sz w:val="24"/>
                <w:szCs w:val="24"/>
              </w:rPr>
              <w:t>k</w:t>
            </w:r>
            <w:r>
              <w:rPr>
                <w:rFonts w:ascii="Times New Roman" w:hAnsi="Times New Roman"/>
                <w:sz w:val="24"/>
                <w:szCs w:val="24"/>
              </w:rPr>
              <w:t xml:space="preserve">uri įgyvendins Lietuvos Respublikos </w:t>
            </w:r>
            <w:r w:rsidR="00732AFE">
              <w:rPr>
                <w:rFonts w:ascii="Times New Roman" w:hAnsi="Times New Roman"/>
                <w:sz w:val="24"/>
                <w:szCs w:val="24"/>
              </w:rPr>
              <w:t>p</w:t>
            </w:r>
            <w:r>
              <w:rPr>
                <w:rFonts w:ascii="Times New Roman" w:hAnsi="Times New Roman"/>
                <w:sz w:val="24"/>
                <w:szCs w:val="24"/>
              </w:rPr>
              <w:t>aramos būstui įsigyti ar išsinuomoti įstatymo Nr. XII-1215 10, 17,</w:t>
            </w:r>
            <w:r w:rsidR="00732AFE">
              <w:rPr>
                <w:rFonts w:ascii="Times New Roman" w:hAnsi="Times New Roman"/>
                <w:sz w:val="24"/>
                <w:szCs w:val="24"/>
              </w:rPr>
              <w:t xml:space="preserve"> </w:t>
            </w:r>
            <w:r>
              <w:rPr>
                <w:rFonts w:ascii="Times New Roman" w:hAnsi="Times New Roman"/>
                <w:sz w:val="24"/>
                <w:szCs w:val="24"/>
              </w:rPr>
              <w:t>18 ir 19 straipsnių pakeitimus.</w:t>
            </w:r>
          </w:p>
        </w:tc>
      </w:tr>
      <w:tr w:rsidR="009626C5" w14:paraId="6D49BE1F" w14:textId="77777777" w:rsidTr="00862D34">
        <w:trPr>
          <w:trHeight w:val="592"/>
        </w:trPr>
        <w:tc>
          <w:tcPr>
            <w:tcW w:w="9854" w:type="dxa"/>
            <w:shd w:val="clear" w:color="auto" w:fill="auto"/>
          </w:tcPr>
          <w:p w14:paraId="13102435" w14:textId="77777777" w:rsidR="009626C5" w:rsidRDefault="009626C5">
            <w:pPr>
              <w:tabs>
                <w:tab w:val="left" w:pos="0"/>
              </w:tabs>
              <w:jc w:val="both"/>
            </w:pPr>
            <w:r>
              <w:rPr>
                <w:rFonts w:ascii="Times New Roman" w:hAnsi="Times New Roman"/>
                <w:b/>
                <w:bCs/>
                <w:i/>
                <w:iCs/>
                <w:sz w:val="24"/>
                <w:szCs w:val="24"/>
              </w:rPr>
              <w:t>4. Galimos neigiamos priimto projekto pasekmės ir kokių priemonių reikėtų imtis, kad tokių pasekmių būtų išvengta.</w:t>
            </w:r>
          </w:p>
        </w:tc>
      </w:tr>
      <w:tr w:rsidR="009626C5" w14:paraId="106B6EFB" w14:textId="77777777" w:rsidTr="00862D34">
        <w:tc>
          <w:tcPr>
            <w:tcW w:w="9854" w:type="dxa"/>
            <w:shd w:val="clear" w:color="auto" w:fill="auto"/>
          </w:tcPr>
          <w:p w14:paraId="35B11436" w14:textId="77777777" w:rsidR="00DC00B4" w:rsidRDefault="009626C5" w:rsidP="00DC00B4">
            <w:pPr>
              <w:tabs>
                <w:tab w:val="left" w:pos="0"/>
              </w:tabs>
              <w:ind w:firstLine="709"/>
              <w:jc w:val="both"/>
              <w:rPr>
                <w:rFonts w:ascii="Times New Roman" w:hAnsi="Times New Roman"/>
                <w:sz w:val="24"/>
                <w:szCs w:val="24"/>
              </w:rPr>
            </w:pPr>
            <w:r>
              <w:rPr>
                <w:rFonts w:ascii="Times New Roman" w:hAnsi="Times New Roman"/>
                <w:sz w:val="24"/>
                <w:szCs w:val="24"/>
              </w:rPr>
              <w:t>Nenumatoma</w:t>
            </w:r>
            <w:r w:rsidR="00E60CBE">
              <w:rPr>
                <w:rFonts w:ascii="Times New Roman" w:hAnsi="Times New Roman"/>
                <w:sz w:val="24"/>
                <w:szCs w:val="24"/>
              </w:rPr>
              <w:t>.</w:t>
            </w:r>
          </w:p>
          <w:p w14:paraId="1235AB85" w14:textId="77777777" w:rsidR="00DC00B4" w:rsidRDefault="00DC00B4" w:rsidP="00DC00B4">
            <w:pPr>
              <w:tabs>
                <w:tab w:val="left" w:pos="0"/>
              </w:tabs>
              <w:jc w:val="both"/>
              <w:rPr>
                <w:rFonts w:ascii="Times New Roman" w:hAnsi="Times New Roman"/>
                <w:b/>
                <w:bCs/>
                <w:i/>
                <w:iCs/>
                <w:sz w:val="24"/>
                <w:szCs w:val="24"/>
              </w:rPr>
            </w:pPr>
            <w:r>
              <w:rPr>
                <w:rFonts w:ascii="Times New Roman" w:hAnsi="Times New Roman"/>
                <w:b/>
                <w:bCs/>
                <w:i/>
                <w:iCs/>
                <w:sz w:val="24"/>
                <w:szCs w:val="24"/>
              </w:rPr>
              <w:t xml:space="preserve">  </w:t>
            </w:r>
            <w:r w:rsidRPr="00DC00B4">
              <w:rPr>
                <w:rFonts w:ascii="Times New Roman" w:hAnsi="Times New Roman"/>
                <w:b/>
                <w:bCs/>
                <w:i/>
                <w:iCs/>
                <w:sz w:val="24"/>
                <w:szCs w:val="24"/>
              </w:rPr>
              <w:t>5. Kokie šios srities aktai tebegalioja (pateikiamas aktų sąrašas)ir kokius galiojančius aktus būtina pakeisti ar panaikinti, priėmus teikiamą projektą.</w:t>
            </w:r>
          </w:p>
          <w:p w14:paraId="410FA64B" w14:textId="08076CC6" w:rsidR="00DC00B4" w:rsidRPr="00DC00B4" w:rsidRDefault="00DC00B4" w:rsidP="00DC00B4">
            <w:pPr>
              <w:tabs>
                <w:tab w:val="left" w:pos="0"/>
              </w:tabs>
              <w:jc w:val="both"/>
              <w:rPr>
                <w:rFonts w:ascii="Times New Roman" w:hAnsi="Times New Roman"/>
                <w:i/>
                <w:iCs/>
                <w:sz w:val="24"/>
                <w:szCs w:val="24"/>
              </w:rPr>
            </w:pPr>
            <w:r w:rsidRPr="00DC00B4">
              <w:rPr>
                <w:rFonts w:ascii="Times New Roman" w:hAnsi="Times New Roman"/>
                <w:i/>
                <w:iCs/>
                <w:sz w:val="24"/>
                <w:szCs w:val="24"/>
              </w:rPr>
              <w:t>Nėra</w:t>
            </w:r>
            <w:r>
              <w:rPr>
                <w:rFonts w:ascii="Times New Roman" w:hAnsi="Times New Roman"/>
                <w:i/>
                <w:iCs/>
                <w:sz w:val="24"/>
                <w:szCs w:val="24"/>
              </w:rPr>
              <w:t>.</w:t>
            </w:r>
          </w:p>
        </w:tc>
      </w:tr>
      <w:tr w:rsidR="009626C5" w14:paraId="3980C2B7" w14:textId="77777777" w:rsidTr="00862D34">
        <w:tc>
          <w:tcPr>
            <w:tcW w:w="9854" w:type="dxa"/>
            <w:shd w:val="clear" w:color="auto" w:fill="auto"/>
          </w:tcPr>
          <w:tbl>
            <w:tblPr>
              <w:tblW w:w="0" w:type="auto"/>
              <w:tblLayout w:type="fixed"/>
              <w:tblLook w:val="0000" w:firstRow="0" w:lastRow="0" w:firstColumn="0" w:lastColumn="0" w:noHBand="0" w:noVBand="0"/>
            </w:tblPr>
            <w:tblGrid>
              <w:gridCol w:w="9854"/>
            </w:tblGrid>
            <w:tr w:rsidR="00AB0B65" w14:paraId="49E03C1F" w14:textId="77777777" w:rsidTr="00FB6AEC">
              <w:tc>
                <w:tcPr>
                  <w:tcW w:w="9854" w:type="dxa"/>
                  <w:shd w:val="clear" w:color="auto" w:fill="auto"/>
                </w:tcPr>
                <w:p w14:paraId="7E7782C2" w14:textId="77777777" w:rsidR="00AB0B65" w:rsidRDefault="00AB0B65" w:rsidP="008A53A0">
                  <w:pPr>
                    <w:tabs>
                      <w:tab w:val="left" w:pos="720"/>
                    </w:tabs>
                    <w:ind w:right="180"/>
                    <w:jc w:val="both"/>
                  </w:pPr>
                </w:p>
              </w:tc>
            </w:tr>
            <w:tr w:rsidR="00AB0B65" w14:paraId="589B8D65" w14:textId="77777777" w:rsidTr="00FB6AEC">
              <w:tc>
                <w:tcPr>
                  <w:tcW w:w="9854" w:type="dxa"/>
                  <w:shd w:val="clear" w:color="auto" w:fill="auto"/>
                </w:tcPr>
                <w:p w14:paraId="3A6F3D9D" w14:textId="77777777" w:rsidR="00AB0B65" w:rsidRDefault="00AB0B65" w:rsidP="00AB0B65">
                  <w:pPr>
                    <w:tabs>
                      <w:tab w:val="left" w:pos="0"/>
                    </w:tabs>
                    <w:jc w:val="both"/>
                  </w:pPr>
                  <w:r>
                    <w:rPr>
                      <w:rFonts w:ascii="Times New Roman" w:hAnsi="Times New Roman"/>
                      <w:b/>
                      <w:bCs/>
                      <w:i/>
                      <w:iCs/>
                      <w:sz w:val="24"/>
                      <w:szCs w:val="24"/>
                    </w:rPr>
                    <w:t xml:space="preserve">6 Jeigu reikia atlikti sprendimo projekto antikorupcinį vertinimą, sprendžia projekto rengėjas, atsižvelgdamas į Teisės aktų projektų antikorupcinio vertinimo taisykles.  </w:t>
                  </w:r>
                </w:p>
              </w:tc>
            </w:tr>
            <w:tr w:rsidR="00AB0B65" w14:paraId="39CB9E9C" w14:textId="77777777" w:rsidTr="00FB6AEC">
              <w:tc>
                <w:tcPr>
                  <w:tcW w:w="9854" w:type="dxa"/>
                  <w:shd w:val="clear" w:color="auto" w:fill="auto"/>
                </w:tcPr>
                <w:p w14:paraId="628C41F7" w14:textId="2D696AAC" w:rsidR="00AB0B65" w:rsidRDefault="00AB0B65" w:rsidP="00D67574">
                  <w:pPr>
                    <w:tabs>
                      <w:tab w:val="left" w:pos="0"/>
                    </w:tabs>
                    <w:ind w:firstLine="709"/>
                    <w:jc w:val="both"/>
                  </w:pPr>
                  <w:r>
                    <w:rPr>
                      <w:rFonts w:ascii="Times New Roman" w:hAnsi="Times New Roman"/>
                      <w:sz w:val="24"/>
                      <w:szCs w:val="24"/>
                    </w:rPr>
                    <w:t>Antikorupcini</w:t>
                  </w:r>
                  <w:r w:rsidR="005A4D8A">
                    <w:rPr>
                      <w:rFonts w:ascii="Times New Roman" w:hAnsi="Times New Roman"/>
                      <w:sz w:val="24"/>
                      <w:szCs w:val="24"/>
                    </w:rPr>
                    <w:t xml:space="preserve">s vertinimas </w:t>
                  </w:r>
                  <w:r w:rsidR="00D67574">
                    <w:rPr>
                      <w:rFonts w:ascii="Times New Roman" w:hAnsi="Times New Roman"/>
                      <w:sz w:val="24"/>
                      <w:szCs w:val="24"/>
                    </w:rPr>
                    <w:t>pridedamas</w:t>
                  </w:r>
                  <w:r w:rsidR="005A4D8A">
                    <w:rPr>
                      <w:rFonts w:ascii="Times New Roman" w:hAnsi="Times New Roman"/>
                      <w:sz w:val="24"/>
                      <w:szCs w:val="24"/>
                    </w:rPr>
                    <w:t>.</w:t>
                  </w:r>
                </w:p>
              </w:tc>
            </w:tr>
          </w:tbl>
          <w:p w14:paraId="048D3D99" w14:textId="5576E7E9" w:rsidR="009626C5" w:rsidRDefault="009626C5">
            <w:pPr>
              <w:tabs>
                <w:tab w:val="left" w:pos="0"/>
              </w:tabs>
              <w:jc w:val="both"/>
            </w:pPr>
          </w:p>
        </w:tc>
      </w:tr>
      <w:tr w:rsidR="009626C5" w14:paraId="0EB33206" w14:textId="77777777" w:rsidTr="00862D34">
        <w:tc>
          <w:tcPr>
            <w:tcW w:w="9854" w:type="dxa"/>
            <w:shd w:val="clear" w:color="auto" w:fill="auto"/>
          </w:tcPr>
          <w:tbl>
            <w:tblPr>
              <w:tblW w:w="0" w:type="auto"/>
              <w:tblLayout w:type="fixed"/>
              <w:tblLook w:val="0000" w:firstRow="0" w:lastRow="0" w:firstColumn="0" w:lastColumn="0" w:noHBand="0" w:noVBand="0"/>
            </w:tblPr>
            <w:tblGrid>
              <w:gridCol w:w="9854"/>
            </w:tblGrid>
            <w:tr w:rsidR="00862D34" w14:paraId="39E377D4" w14:textId="77777777" w:rsidTr="00FB6AEC">
              <w:tc>
                <w:tcPr>
                  <w:tcW w:w="9854" w:type="dxa"/>
                  <w:shd w:val="clear" w:color="auto" w:fill="auto"/>
                </w:tcPr>
                <w:p w14:paraId="78143288" w14:textId="77777777" w:rsidR="00862D34" w:rsidRDefault="00862D34" w:rsidP="00862D34">
                  <w:pPr>
                    <w:tabs>
                      <w:tab w:val="left" w:pos="0"/>
                    </w:tabs>
                    <w:jc w:val="both"/>
                  </w:pPr>
                  <w:r>
                    <w:rPr>
                      <w:rFonts w:ascii="Times New Roman" w:hAnsi="Times New Roman"/>
                      <w:b/>
                      <w:bCs/>
                      <w:i/>
                      <w:iCs/>
                      <w:sz w:val="24"/>
                      <w:szCs w:val="24"/>
                    </w:rPr>
                    <w:t>7. Projekto rengimo metu gauti specialistų vertinimai ir išvados, ekonominiai apskaičiavimai (sąmatos), konkretūs finansavimo šaltiniai.</w:t>
                  </w:r>
                </w:p>
              </w:tc>
            </w:tr>
            <w:tr w:rsidR="00862D34" w14:paraId="44590318" w14:textId="77777777" w:rsidTr="00FB6AEC">
              <w:tc>
                <w:tcPr>
                  <w:tcW w:w="9854" w:type="dxa"/>
                  <w:shd w:val="clear" w:color="auto" w:fill="auto"/>
                </w:tcPr>
                <w:p w14:paraId="6678D38F" w14:textId="77777777" w:rsidR="00862D34" w:rsidRDefault="00862D34" w:rsidP="00862D34">
                  <w:pPr>
                    <w:tabs>
                      <w:tab w:val="left" w:pos="0"/>
                    </w:tabs>
                    <w:ind w:firstLine="709"/>
                    <w:jc w:val="both"/>
                  </w:pPr>
                  <w:r>
                    <w:rPr>
                      <w:rFonts w:ascii="Times New Roman" w:hAnsi="Times New Roman"/>
                      <w:sz w:val="24"/>
                      <w:szCs w:val="24"/>
                    </w:rPr>
                    <w:t>Nėra.</w:t>
                  </w:r>
                </w:p>
              </w:tc>
            </w:tr>
            <w:tr w:rsidR="00862D34" w14:paraId="7F3343D7" w14:textId="77777777" w:rsidTr="00FB6AEC">
              <w:tc>
                <w:tcPr>
                  <w:tcW w:w="9854" w:type="dxa"/>
                  <w:shd w:val="clear" w:color="auto" w:fill="auto"/>
                </w:tcPr>
                <w:p w14:paraId="25D88A02" w14:textId="77777777" w:rsidR="00862D34" w:rsidRDefault="00862D34" w:rsidP="00862D34">
                  <w:pPr>
                    <w:tabs>
                      <w:tab w:val="left" w:pos="0"/>
                    </w:tabs>
                    <w:jc w:val="both"/>
                  </w:pPr>
                  <w:r>
                    <w:rPr>
                      <w:rFonts w:ascii="Times New Roman" w:hAnsi="Times New Roman"/>
                      <w:b/>
                      <w:i/>
                      <w:sz w:val="24"/>
                      <w:szCs w:val="24"/>
                    </w:rPr>
                    <w:lastRenderedPageBreak/>
                    <w:t>7. Projekto autorius ar autorių grupė.</w:t>
                  </w:r>
                </w:p>
              </w:tc>
            </w:tr>
            <w:tr w:rsidR="00862D34" w14:paraId="678684AF" w14:textId="77777777" w:rsidTr="00FB6AEC">
              <w:tc>
                <w:tcPr>
                  <w:tcW w:w="9854" w:type="dxa"/>
                  <w:shd w:val="clear" w:color="auto" w:fill="auto"/>
                </w:tcPr>
                <w:p w14:paraId="6CBE9C7E" w14:textId="77777777" w:rsidR="00862D34" w:rsidRDefault="00862D34" w:rsidP="00862D34">
                  <w:pPr>
                    <w:tabs>
                      <w:tab w:val="left" w:pos="0"/>
                    </w:tabs>
                    <w:ind w:firstLine="709"/>
                    <w:jc w:val="both"/>
                  </w:pPr>
                  <w:r>
                    <w:rPr>
                      <w:rFonts w:ascii="Times New Roman" w:hAnsi="Times New Roman"/>
                      <w:sz w:val="24"/>
                      <w:szCs w:val="24"/>
                    </w:rPr>
                    <w:t>Alina Naujokienė, Ūkio skyriaus turto valdymo inžinierė.</w:t>
                  </w:r>
                </w:p>
              </w:tc>
            </w:tr>
            <w:tr w:rsidR="00862D34" w14:paraId="5AB92D97" w14:textId="77777777" w:rsidTr="00FB6AEC">
              <w:tc>
                <w:tcPr>
                  <w:tcW w:w="9854" w:type="dxa"/>
                  <w:shd w:val="clear" w:color="auto" w:fill="auto"/>
                </w:tcPr>
                <w:p w14:paraId="2E9D119B" w14:textId="77777777" w:rsidR="00862D34" w:rsidRDefault="00862D34" w:rsidP="00862D34">
                  <w:pPr>
                    <w:tabs>
                      <w:tab w:val="left" w:pos="0"/>
                    </w:tabs>
                    <w:jc w:val="both"/>
                  </w:pPr>
                  <w:r>
                    <w:rPr>
                      <w:rFonts w:ascii="Times New Roman" w:hAnsi="Times New Roman"/>
                      <w:b/>
                      <w:i/>
                      <w:sz w:val="24"/>
                      <w:szCs w:val="24"/>
                    </w:rPr>
                    <w:t>9. Reikšminiai projekto žodžiai, kurių reikia šiam projektui įtraukti į kompiuterinę paieškos sistemą.</w:t>
                  </w:r>
                </w:p>
              </w:tc>
            </w:tr>
            <w:tr w:rsidR="00862D34" w14:paraId="41F1CC3F" w14:textId="77777777" w:rsidTr="00FB6AEC">
              <w:tc>
                <w:tcPr>
                  <w:tcW w:w="9854" w:type="dxa"/>
                  <w:shd w:val="clear" w:color="auto" w:fill="auto"/>
                </w:tcPr>
                <w:p w14:paraId="0D16E23C" w14:textId="3D26330B" w:rsidR="00862D34" w:rsidRDefault="00862D34" w:rsidP="00D67574">
                  <w:pPr>
                    <w:tabs>
                      <w:tab w:val="left" w:pos="0"/>
                    </w:tabs>
                    <w:ind w:firstLine="709"/>
                    <w:jc w:val="both"/>
                  </w:pPr>
                  <w:r>
                    <w:rPr>
                      <w:rFonts w:ascii="Times New Roman" w:hAnsi="Times New Roman"/>
                      <w:sz w:val="24"/>
                      <w:szCs w:val="24"/>
                      <w:lang w:eastAsia="lt-LT"/>
                    </w:rPr>
                    <w:t>Šilutės rajono savivaldybės būsto nuom</w:t>
                  </w:r>
                  <w:r w:rsidR="00D67574">
                    <w:rPr>
                      <w:rFonts w:ascii="Times New Roman" w:hAnsi="Times New Roman"/>
                      <w:sz w:val="24"/>
                      <w:szCs w:val="24"/>
                      <w:lang w:eastAsia="lt-LT"/>
                    </w:rPr>
                    <w:t xml:space="preserve">a, </w:t>
                  </w:r>
                  <w:r>
                    <w:rPr>
                      <w:rFonts w:ascii="Times New Roman" w:hAnsi="Times New Roman"/>
                      <w:sz w:val="24"/>
                      <w:szCs w:val="24"/>
                      <w:lang w:eastAsia="lt-LT"/>
                    </w:rPr>
                    <w:t>išperkamo</w:t>
                  </w:r>
                  <w:r w:rsidR="00D67574">
                    <w:rPr>
                      <w:rFonts w:ascii="Times New Roman" w:hAnsi="Times New Roman"/>
                      <w:sz w:val="24"/>
                      <w:szCs w:val="24"/>
                      <w:lang w:eastAsia="lt-LT"/>
                    </w:rPr>
                    <w:t>ji</w:t>
                  </w:r>
                  <w:r>
                    <w:rPr>
                      <w:rFonts w:ascii="Times New Roman" w:hAnsi="Times New Roman"/>
                      <w:sz w:val="24"/>
                      <w:szCs w:val="24"/>
                      <w:lang w:eastAsia="lt-LT"/>
                    </w:rPr>
                    <w:t xml:space="preserve"> būsto nuom</w:t>
                  </w:r>
                  <w:r w:rsidR="00D67574">
                    <w:rPr>
                      <w:rFonts w:ascii="Times New Roman" w:hAnsi="Times New Roman"/>
                      <w:sz w:val="24"/>
                      <w:szCs w:val="24"/>
                      <w:lang w:eastAsia="lt-LT"/>
                    </w:rPr>
                    <w:t>a,</w:t>
                  </w:r>
                  <w:r>
                    <w:rPr>
                      <w:rFonts w:ascii="Times New Roman" w:hAnsi="Times New Roman"/>
                      <w:sz w:val="24"/>
                      <w:szCs w:val="24"/>
                      <w:lang w:eastAsia="lt-LT"/>
                    </w:rPr>
                    <w:t xml:space="preserve"> mokesčių dalies kompensacij</w:t>
                  </w:r>
                  <w:r w:rsidR="00D67574">
                    <w:rPr>
                      <w:rFonts w:ascii="Times New Roman" w:hAnsi="Times New Roman"/>
                      <w:sz w:val="24"/>
                      <w:szCs w:val="24"/>
                      <w:lang w:eastAsia="lt-LT"/>
                    </w:rPr>
                    <w:t>a,</w:t>
                  </w:r>
                  <w:r>
                    <w:rPr>
                      <w:rFonts w:ascii="Times New Roman" w:hAnsi="Times New Roman"/>
                      <w:sz w:val="24"/>
                      <w:szCs w:val="24"/>
                      <w:lang w:eastAsia="lt-LT"/>
                    </w:rPr>
                    <w:t xml:space="preserve"> kompensacijų grąžinim</w:t>
                  </w:r>
                  <w:r w:rsidR="00D67574">
                    <w:rPr>
                      <w:rFonts w:ascii="Times New Roman" w:hAnsi="Times New Roman"/>
                      <w:sz w:val="24"/>
                      <w:szCs w:val="24"/>
                      <w:lang w:eastAsia="lt-LT"/>
                    </w:rPr>
                    <w:t xml:space="preserve">as, </w:t>
                  </w:r>
                  <w:r>
                    <w:rPr>
                      <w:rFonts w:ascii="Times New Roman" w:hAnsi="Times New Roman"/>
                      <w:sz w:val="24"/>
                      <w:szCs w:val="24"/>
                      <w:lang w:eastAsia="lt-LT"/>
                    </w:rPr>
                    <w:t>tvarkos apr</w:t>
                  </w:r>
                  <w:r w:rsidR="00617EFE">
                    <w:rPr>
                      <w:rFonts w:ascii="Times New Roman" w:hAnsi="Times New Roman"/>
                      <w:sz w:val="24"/>
                      <w:szCs w:val="24"/>
                      <w:lang w:eastAsia="lt-LT"/>
                    </w:rPr>
                    <w:t>a</w:t>
                  </w:r>
                  <w:r>
                    <w:rPr>
                      <w:rFonts w:ascii="Times New Roman" w:hAnsi="Times New Roman"/>
                      <w:sz w:val="24"/>
                      <w:szCs w:val="24"/>
                      <w:lang w:eastAsia="lt-LT"/>
                    </w:rPr>
                    <w:t>šas.</w:t>
                  </w:r>
                </w:p>
              </w:tc>
            </w:tr>
            <w:tr w:rsidR="00862D34" w14:paraId="408D356A" w14:textId="77777777" w:rsidTr="00FB6AEC">
              <w:tc>
                <w:tcPr>
                  <w:tcW w:w="9854" w:type="dxa"/>
                  <w:shd w:val="clear" w:color="auto" w:fill="auto"/>
                </w:tcPr>
                <w:p w14:paraId="74356C6B" w14:textId="77777777" w:rsidR="00862D34" w:rsidRDefault="00862D34" w:rsidP="00862D34">
                  <w:pPr>
                    <w:tabs>
                      <w:tab w:val="left" w:pos="0"/>
                    </w:tabs>
                  </w:pPr>
                  <w:r>
                    <w:rPr>
                      <w:rFonts w:ascii="Times New Roman" w:eastAsia="Times New Roman" w:hAnsi="Times New Roman"/>
                      <w:sz w:val="24"/>
                      <w:szCs w:val="24"/>
                    </w:rPr>
                    <w:t xml:space="preserve"> </w:t>
                  </w:r>
                  <w:r>
                    <w:rPr>
                      <w:rFonts w:ascii="Times New Roman" w:hAnsi="Times New Roman"/>
                      <w:b/>
                      <w:i/>
                      <w:sz w:val="24"/>
                      <w:szCs w:val="24"/>
                    </w:rPr>
                    <w:t>1</w:t>
                  </w:r>
                  <w:r>
                    <w:rPr>
                      <w:rFonts w:ascii="Times New Roman" w:hAnsi="Times New Roman"/>
                      <w:b/>
                      <w:bCs/>
                      <w:i/>
                      <w:iCs/>
                      <w:sz w:val="24"/>
                      <w:szCs w:val="24"/>
                    </w:rPr>
                    <w:t>0.  Kiti,  autorių nuomone,  reikalingi pagrindimai ir paaiškinimai.</w:t>
                  </w:r>
                </w:p>
              </w:tc>
            </w:tr>
            <w:tr w:rsidR="00862D34" w14:paraId="31751C63" w14:textId="77777777" w:rsidTr="00FB6AEC">
              <w:tc>
                <w:tcPr>
                  <w:tcW w:w="9854" w:type="dxa"/>
                  <w:shd w:val="clear" w:color="auto" w:fill="auto"/>
                </w:tcPr>
                <w:p w14:paraId="0446F6C2" w14:textId="77777777" w:rsidR="00862D34" w:rsidRDefault="00862D34" w:rsidP="00862D34">
                  <w:pPr>
                    <w:tabs>
                      <w:tab w:val="left" w:pos="0"/>
                    </w:tabs>
                    <w:ind w:firstLine="709"/>
                    <w:jc w:val="both"/>
                  </w:pPr>
                  <w:r>
                    <w:rPr>
                      <w:rFonts w:ascii="Times New Roman" w:hAnsi="Times New Roman"/>
                      <w:sz w:val="24"/>
                      <w:szCs w:val="24"/>
                    </w:rPr>
                    <w:t>Nėra.</w:t>
                  </w:r>
                </w:p>
              </w:tc>
            </w:tr>
          </w:tbl>
          <w:p w14:paraId="3B9D247F" w14:textId="77777777" w:rsidR="00862D34" w:rsidRDefault="00862D34" w:rsidP="00862D34">
            <w:pPr>
              <w:tabs>
                <w:tab w:val="left" w:pos="0"/>
              </w:tabs>
              <w:rPr>
                <w:rFonts w:ascii="Times New Roman" w:hAnsi="Times New Roman"/>
                <w:sz w:val="24"/>
                <w:szCs w:val="24"/>
              </w:rPr>
            </w:pPr>
          </w:p>
          <w:p w14:paraId="168DEAE4" w14:textId="77777777" w:rsidR="00862D34" w:rsidRDefault="00862D34" w:rsidP="00862D34">
            <w:pPr>
              <w:tabs>
                <w:tab w:val="left" w:pos="0"/>
              </w:tabs>
            </w:pPr>
            <w:r>
              <w:rPr>
                <w:rFonts w:ascii="Times New Roman" w:hAnsi="Times New Roman"/>
                <w:sz w:val="24"/>
                <w:szCs w:val="24"/>
              </w:rPr>
              <w:t xml:space="preserve">Ūkio skyriaus turto valdymo inžinierė                                              </w:t>
            </w:r>
            <w:r>
              <w:rPr>
                <w:rFonts w:ascii="Times New Roman" w:hAnsi="Times New Roman"/>
                <w:sz w:val="24"/>
                <w:szCs w:val="24"/>
              </w:rPr>
              <w:tab/>
            </w:r>
            <w:r>
              <w:rPr>
                <w:rFonts w:ascii="Times New Roman" w:hAnsi="Times New Roman"/>
                <w:sz w:val="24"/>
                <w:szCs w:val="24"/>
              </w:rPr>
              <w:tab/>
              <w:t xml:space="preserve">  Alina Naujokienė</w:t>
            </w:r>
          </w:p>
          <w:p w14:paraId="5D78DCA2" w14:textId="77777777" w:rsidR="00862D34" w:rsidRDefault="00862D34" w:rsidP="00862D34">
            <w:pPr>
              <w:pStyle w:val="Antrat10"/>
              <w:jc w:val="left"/>
              <w:rPr>
                <w:color w:val="000000"/>
              </w:rPr>
            </w:pPr>
          </w:p>
          <w:p w14:paraId="00B50859" w14:textId="77777777" w:rsidR="00862D34" w:rsidRDefault="00862D34" w:rsidP="00862D34">
            <w:pPr>
              <w:pStyle w:val="Antrat10"/>
              <w:jc w:val="left"/>
            </w:pPr>
          </w:p>
          <w:p w14:paraId="665CBC5D" w14:textId="29D69943" w:rsidR="009626C5" w:rsidRDefault="009626C5" w:rsidP="00E60CBE">
            <w:pPr>
              <w:tabs>
                <w:tab w:val="left" w:pos="720"/>
              </w:tabs>
              <w:ind w:right="180" w:firstLine="709"/>
              <w:jc w:val="both"/>
            </w:pPr>
          </w:p>
        </w:tc>
      </w:tr>
      <w:tr w:rsidR="00AB0B65" w14:paraId="0C67F041" w14:textId="77777777" w:rsidTr="00862D34">
        <w:tc>
          <w:tcPr>
            <w:tcW w:w="9854" w:type="dxa"/>
            <w:shd w:val="clear" w:color="auto" w:fill="auto"/>
          </w:tcPr>
          <w:p w14:paraId="2A43F703" w14:textId="77777777" w:rsidR="00AB0B65" w:rsidRDefault="00AB0B65" w:rsidP="00E60CBE">
            <w:pPr>
              <w:tabs>
                <w:tab w:val="left" w:pos="720"/>
              </w:tabs>
              <w:ind w:right="180" w:firstLine="709"/>
              <w:jc w:val="both"/>
            </w:pPr>
          </w:p>
        </w:tc>
      </w:tr>
      <w:tr w:rsidR="009626C5" w14:paraId="1C066C10" w14:textId="77777777" w:rsidTr="00862D34">
        <w:tc>
          <w:tcPr>
            <w:tcW w:w="9854" w:type="dxa"/>
            <w:shd w:val="clear" w:color="auto" w:fill="auto"/>
          </w:tcPr>
          <w:p w14:paraId="0B92DBC9" w14:textId="46238EF6" w:rsidR="009626C5" w:rsidRDefault="009626C5">
            <w:pPr>
              <w:tabs>
                <w:tab w:val="left" w:pos="0"/>
              </w:tabs>
              <w:jc w:val="both"/>
            </w:pPr>
          </w:p>
        </w:tc>
      </w:tr>
      <w:tr w:rsidR="009626C5" w14:paraId="025B2F2D" w14:textId="77777777" w:rsidTr="00862D34">
        <w:tc>
          <w:tcPr>
            <w:tcW w:w="9854" w:type="dxa"/>
            <w:shd w:val="clear" w:color="auto" w:fill="auto"/>
          </w:tcPr>
          <w:p w14:paraId="3D6C6493" w14:textId="1A63C58C" w:rsidR="009626C5" w:rsidRDefault="009626C5">
            <w:pPr>
              <w:tabs>
                <w:tab w:val="left" w:pos="0"/>
              </w:tabs>
              <w:ind w:firstLine="709"/>
              <w:jc w:val="both"/>
            </w:pPr>
          </w:p>
        </w:tc>
      </w:tr>
    </w:tbl>
    <w:p w14:paraId="4559DDAD" w14:textId="77777777" w:rsidR="009626C5" w:rsidRDefault="009626C5">
      <w:pPr>
        <w:pStyle w:val="Antrat10"/>
        <w:jc w:val="left"/>
      </w:pPr>
    </w:p>
    <w:p w14:paraId="239A195B" w14:textId="77777777" w:rsidR="009626C5" w:rsidRDefault="009626C5">
      <w:pPr>
        <w:pStyle w:val="Antrat10"/>
        <w:jc w:val="left"/>
      </w:pPr>
    </w:p>
    <w:p w14:paraId="69CB73ED" w14:textId="77777777" w:rsidR="009626C5" w:rsidRDefault="009626C5">
      <w:pPr>
        <w:pStyle w:val="Antrat10"/>
        <w:jc w:val="left"/>
      </w:pPr>
    </w:p>
    <w:p w14:paraId="3D2B29F5" w14:textId="77777777" w:rsidR="009626C5" w:rsidRDefault="009626C5">
      <w:pPr>
        <w:pStyle w:val="Antrat10"/>
        <w:jc w:val="left"/>
      </w:pPr>
    </w:p>
    <w:p w14:paraId="3BF57432" w14:textId="77777777" w:rsidR="009626C5" w:rsidRDefault="009626C5">
      <w:pPr>
        <w:pStyle w:val="Antrat10"/>
        <w:jc w:val="left"/>
      </w:pPr>
    </w:p>
    <w:p w14:paraId="527773FC" w14:textId="77777777" w:rsidR="009626C5" w:rsidRDefault="009626C5">
      <w:pPr>
        <w:pStyle w:val="Antrat10"/>
        <w:jc w:val="left"/>
      </w:pPr>
    </w:p>
    <w:p w14:paraId="4BA971DF" w14:textId="77777777" w:rsidR="009626C5" w:rsidRDefault="009626C5">
      <w:pPr>
        <w:pStyle w:val="Antrat10"/>
        <w:jc w:val="left"/>
      </w:pPr>
    </w:p>
    <w:p w14:paraId="3E82645C" w14:textId="77777777" w:rsidR="009626C5" w:rsidRDefault="008A02FE">
      <w:pPr>
        <w:pStyle w:val="Antrat10"/>
        <w:jc w:val="left"/>
      </w:pPr>
      <w:r>
        <w:t xml:space="preserve">                                              </w:t>
      </w:r>
    </w:p>
    <w:p w14:paraId="2B50E9ED" w14:textId="77777777" w:rsidR="008A02FE" w:rsidRDefault="008A02FE" w:rsidP="008A02FE">
      <w:pPr>
        <w:pStyle w:val="Pagrindinistekstas"/>
      </w:pPr>
    </w:p>
    <w:p w14:paraId="5A2AEE08" w14:textId="77777777" w:rsidR="008A02FE" w:rsidRDefault="008A02FE" w:rsidP="008A02FE">
      <w:pPr>
        <w:pStyle w:val="Pagrindinistekstas"/>
      </w:pPr>
    </w:p>
    <w:p w14:paraId="3BFA86F1" w14:textId="77777777" w:rsidR="008A02FE" w:rsidRDefault="008A02FE" w:rsidP="008A02FE">
      <w:pPr>
        <w:pStyle w:val="Pagrindinistekstas"/>
      </w:pPr>
    </w:p>
    <w:p w14:paraId="1517A3D2" w14:textId="77777777" w:rsidR="008A02FE" w:rsidRDefault="008A02FE" w:rsidP="008A02FE">
      <w:pPr>
        <w:pStyle w:val="Pagrindinistekstas"/>
      </w:pPr>
    </w:p>
    <w:p w14:paraId="46F461B7" w14:textId="77777777" w:rsidR="008A02FE" w:rsidRDefault="008A02FE" w:rsidP="008A02FE">
      <w:pPr>
        <w:pStyle w:val="Pagrindinistekstas"/>
      </w:pPr>
    </w:p>
    <w:p w14:paraId="28558CB0" w14:textId="77777777" w:rsidR="008A02FE" w:rsidRDefault="008A02FE" w:rsidP="008A02FE">
      <w:pPr>
        <w:pStyle w:val="Pagrindinistekstas"/>
      </w:pPr>
    </w:p>
    <w:p w14:paraId="7503024B" w14:textId="77777777" w:rsidR="008A02FE" w:rsidRDefault="008A02FE" w:rsidP="008A02FE">
      <w:pPr>
        <w:pStyle w:val="Pagrindinistekstas"/>
      </w:pPr>
    </w:p>
    <w:p w14:paraId="0F7BE698" w14:textId="77777777" w:rsidR="008A02FE" w:rsidRDefault="008A02FE" w:rsidP="008A02FE">
      <w:pPr>
        <w:pStyle w:val="Pagrindinistekstas"/>
      </w:pPr>
    </w:p>
    <w:p w14:paraId="1F4A05B3" w14:textId="77777777" w:rsidR="008A02FE" w:rsidRDefault="008A02FE" w:rsidP="008A02FE">
      <w:pPr>
        <w:pStyle w:val="Pagrindinistekstas"/>
      </w:pPr>
    </w:p>
    <w:p w14:paraId="05A6CBA8" w14:textId="77777777" w:rsidR="009626C5" w:rsidRDefault="009626C5" w:rsidP="00067088">
      <w:pPr>
        <w:tabs>
          <w:tab w:val="center" w:pos="4819"/>
          <w:tab w:val="right" w:pos="9638"/>
        </w:tabs>
        <w:spacing w:after="0"/>
        <w:jc w:val="both"/>
      </w:pPr>
    </w:p>
    <w:sectPr w:rsidR="009626C5">
      <w:footerReference w:type="default" r:id="rId8"/>
      <w:foot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98DC0" w14:textId="77777777" w:rsidR="00805DCB" w:rsidRDefault="00805DCB">
      <w:pPr>
        <w:spacing w:after="0" w:line="240" w:lineRule="auto"/>
      </w:pPr>
      <w:r>
        <w:separator/>
      </w:r>
    </w:p>
  </w:endnote>
  <w:endnote w:type="continuationSeparator" w:id="0">
    <w:p w14:paraId="7B02D7FA" w14:textId="77777777" w:rsidR="00805DCB" w:rsidRDefault="0080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4FBE" w14:textId="77777777" w:rsidR="009626C5" w:rsidRDefault="009626C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4058B" w14:textId="77777777" w:rsidR="009626C5" w:rsidRDefault="009626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0CCD8" w14:textId="77777777" w:rsidR="00805DCB" w:rsidRDefault="00805DCB">
      <w:pPr>
        <w:spacing w:after="0" w:line="240" w:lineRule="auto"/>
      </w:pPr>
      <w:r>
        <w:separator/>
      </w:r>
    </w:p>
  </w:footnote>
  <w:footnote w:type="continuationSeparator" w:id="0">
    <w:p w14:paraId="5A0B080C" w14:textId="77777777" w:rsidR="00805DCB" w:rsidRDefault="00805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DF32D7"/>
    <w:multiLevelType w:val="hybridMultilevel"/>
    <w:tmpl w:val="BF72FC78"/>
    <w:lvl w:ilvl="0" w:tplc="1F96447C">
      <w:start w:val="1"/>
      <w:numFmt w:val="decimal"/>
      <w:lvlText w:val="%1."/>
      <w:lvlJc w:val="left"/>
      <w:pPr>
        <w:ind w:left="74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5782668">
    <w:abstractNumId w:val="0"/>
  </w:num>
  <w:num w:numId="2" w16cid:durableId="213398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FE"/>
    <w:rsid w:val="0000585E"/>
    <w:rsid w:val="00021BAE"/>
    <w:rsid w:val="00040082"/>
    <w:rsid w:val="00047881"/>
    <w:rsid w:val="00067088"/>
    <w:rsid w:val="00067F55"/>
    <w:rsid w:val="00075546"/>
    <w:rsid w:val="000A29D5"/>
    <w:rsid w:val="000B3044"/>
    <w:rsid w:val="000E48F5"/>
    <w:rsid w:val="000E4C19"/>
    <w:rsid w:val="001110BD"/>
    <w:rsid w:val="001302DC"/>
    <w:rsid w:val="00206376"/>
    <w:rsid w:val="00225801"/>
    <w:rsid w:val="0022779D"/>
    <w:rsid w:val="002858C8"/>
    <w:rsid w:val="002F5501"/>
    <w:rsid w:val="00354A21"/>
    <w:rsid w:val="003B597A"/>
    <w:rsid w:val="003F2F13"/>
    <w:rsid w:val="00406C81"/>
    <w:rsid w:val="00412AFE"/>
    <w:rsid w:val="00424DBC"/>
    <w:rsid w:val="00432CC5"/>
    <w:rsid w:val="005058B0"/>
    <w:rsid w:val="00533585"/>
    <w:rsid w:val="00543D7F"/>
    <w:rsid w:val="00564E4E"/>
    <w:rsid w:val="00592098"/>
    <w:rsid w:val="005A4D8A"/>
    <w:rsid w:val="005B3EF1"/>
    <w:rsid w:val="005B5340"/>
    <w:rsid w:val="00605092"/>
    <w:rsid w:val="00610695"/>
    <w:rsid w:val="00617EFE"/>
    <w:rsid w:val="006233A8"/>
    <w:rsid w:val="006331DD"/>
    <w:rsid w:val="00691619"/>
    <w:rsid w:val="006A68D0"/>
    <w:rsid w:val="006E371A"/>
    <w:rsid w:val="00732AFE"/>
    <w:rsid w:val="00780C70"/>
    <w:rsid w:val="007A16E7"/>
    <w:rsid w:val="007A680A"/>
    <w:rsid w:val="007B0F1C"/>
    <w:rsid w:val="007F20D2"/>
    <w:rsid w:val="008048B0"/>
    <w:rsid w:val="00805DCB"/>
    <w:rsid w:val="008377FF"/>
    <w:rsid w:val="00862A6F"/>
    <w:rsid w:val="00862D34"/>
    <w:rsid w:val="008A02FE"/>
    <w:rsid w:val="008A53A0"/>
    <w:rsid w:val="008B6033"/>
    <w:rsid w:val="00900AEA"/>
    <w:rsid w:val="009626C5"/>
    <w:rsid w:val="00993447"/>
    <w:rsid w:val="009963D2"/>
    <w:rsid w:val="009A2563"/>
    <w:rsid w:val="009E4948"/>
    <w:rsid w:val="00A0213E"/>
    <w:rsid w:val="00A041D0"/>
    <w:rsid w:val="00A2729A"/>
    <w:rsid w:val="00A344E0"/>
    <w:rsid w:val="00A379AC"/>
    <w:rsid w:val="00A7220F"/>
    <w:rsid w:val="00AB0B65"/>
    <w:rsid w:val="00B62916"/>
    <w:rsid w:val="00B800D7"/>
    <w:rsid w:val="00B97F1C"/>
    <w:rsid w:val="00BC1672"/>
    <w:rsid w:val="00C04DDB"/>
    <w:rsid w:val="00C10B3E"/>
    <w:rsid w:val="00C1327D"/>
    <w:rsid w:val="00C466CA"/>
    <w:rsid w:val="00CD0D29"/>
    <w:rsid w:val="00CD21A9"/>
    <w:rsid w:val="00D03A1D"/>
    <w:rsid w:val="00D65D06"/>
    <w:rsid w:val="00D67574"/>
    <w:rsid w:val="00D87D9E"/>
    <w:rsid w:val="00DA0D9B"/>
    <w:rsid w:val="00DA2F8F"/>
    <w:rsid w:val="00DC00B4"/>
    <w:rsid w:val="00DC52D6"/>
    <w:rsid w:val="00DD6EDD"/>
    <w:rsid w:val="00E60CBE"/>
    <w:rsid w:val="00E97A21"/>
    <w:rsid w:val="00F1305C"/>
    <w:rsid w:val="00F446CA"/>
    <w:rsid w:val="00F60761"/>
    <w:rsid w:val="00F84F69"/>
    <w:rsid w:val="00F86864"/>
    <w:rsid w:val="00FC7A18"/>
    <w:rsid w:val="00FC7BE4"/>
    <w:rsid w:val="00FD1294"/>
    <w:rsid w:val="00FD4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B59ECE"/>
  <w15:chartTrackingRefBased/>
  <w15:docId w15:val="{6E3C59CC-819E-4C3D-8791-07325D0D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6" w:lineRule="auto"/>
    </w:pPr>
    <w:rPr>
      <w:rFonts w:ascii="Calibri" w:eastAsia="Calibri" w:hAnsi="Calibri"/>
      <w:sz w:val="22"/>
      <w:szCs w:val="22"/>
      <w:lang w:eastAsia="zh-CN"/>
    </w:rPr>
  </w:style>
  <w:style w:type="paragraph" w:styleId="Antrat1">
    <w:name w:val="heading 1"/>
    <w:basedOn w:val="prastasis"/>
    <w:next w:val="prastasis"/>
    <w:qFormat/>
    <w:pPr>
      <w:keepNext/>
      <w:keepLines/>
      <w:numPr>
        <w:numId w:val="1"/>
      </w:numPr>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qFormat/>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qFormat/>
    <w:pPr>
      <w:keepNext/>
      <w:numPr>
        <w:ilvl w:val="2"/>
        <w:numId w:val="1"/>
      </w:numPr>
      <w:spacing w:after="0" w:line="240" w:lineRule="auto"/>
      <w:ind w:right="-1050"/>
      <w:outlineLvl w:val="2"/>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spacing w:val="-6"/>
    </w:rPr>
  </w:style>
  <w:style w:type="character" w:customStyle="1" w:styleId="WW8Num2z0">
    <w:name w:val="WW8Num2z0"/>
    <w:rPr>
      <w:rFonts w:ascii="Times New Roman" w:eastAsia="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atytasispastraiposriftas1">
    <w:name w:val="Numatytasis pastraipos šriftas1"/>
  </w:style>
  <w:style w:type="character" w:customStyle="1" w:styleId="Antrat2Diagrama">
    <w:name w:val="Antraštė 2 Diagrama"/>
    <w:rPr>
      <w:rFonts w:ascii="Arial" w:eastAsia="Times New Roman" w:hAnsi="Arial" w:cs="Arial"/>
      <w:b/>
      <w:bCs/>
      <w:i/>
      <w:iCs/>
      <w:sz w:val="28"/>
      <w:szCs w:val="28"/>
    </w:rPr>
  </w:style>
  <w:style w:type="character" w:customStyle="1" w:styleId="Antrat3Diagrama">
    <w:name w:val="Antraštė 3 Diagrama"/>
    <w:rPr>
      <w:rFonts w:ascii="Times New Roman" w:eastAsia="Times New Roman" w:hAnsi="Times New Roman" w:cs="Times New Roman"/>
      <w:sz w:val="24"/>
      <w:szCs w:val="20"/>
    </w:rPr>
  </w:style>
  <w:style w:type="character" w:styleId="Hipersaitas">
    <w:name w:val="Hyperlink"/>
    <w:rPr>
      <w:color w:val="0000FF"/>
      <w:u w:val="single"/>
    </w:rPr>
  </w:style>
  <w:style w:type="character" w:customStyle="1" w:styleId="apple-converted-space">
    <w:name w:val="apple-converted-space"/>
    <w:basedOn w:val="Numatytasispastraiposriftas1"/>
  </w:style>
  <w:style w:type="character" w:customStyle="1" w:styleId="WW-Internetosaitas">
    <w:name w:val="WW-Interneto saitas"/>
    <w:rPr>
      <w:color w:val="0563C1"/>
      <w:u w:val="single"/>
    </w:rPr>
  </w:style>
  <w:style w:type="character" w:customStyle="1" w:styleId="DebesliotekstasDiagrama">
    <w:name w:val="Debesėlio tekstas Diagrama"/>
    <w:rPr>
      <w:rFonts w:ascii="Segoe UI" w:hAnsi="Segoe UI" w:cs="Segoe UI"/>
      <w:sz w:val="18"/>
      <w:szCs w:val="18"/>
    </w:rPr>
  </w:style>
  <w:style w:type="character" w:customStyle="1" w:styleId="PoratDiagrama">
    <w:name w:val="Poraštė Diagrama"/>
    <w:basedOn w:val="Numatytasispastraiposriftas1"/>
  </w:style>
  <w:style w:type="character" w:customStyle="1" w:styleId="AntratsDiagrama">
    <w:name w:val="Antraštės Diagrama"/>
    <w:basedOn w:val="Numatytasispastraiposriftas1"/>
  </w:style>
  <w:style w:type="character" w:customStyle="1" w:styleId="Antrat1Diagrama">
    <w:name w:val="Antraštė 1 Diagrama"/>
    <w:rPr>
      <w:rFonts w:ascii="Calibri Light" w:eastAsia="Times New Roman" w:hAnsi="Calibri Light" w:cs="Times New Roman"/>
      <w:color w:val="2F5496"/>
      <w:sz w:val="32"/>
      <w:szCs w:val="32"/>
    </w:rPr>
  </w:style>
  <w:style w:type="character" w:customStyle="1" w:styleId="PavadinimasDiagrama">
    <w:name w:val="Pavadinimas Diagrama"/>
    <w:rPr>
      <w:rFonts w:ascii="Times New Roman" w:eastAsia="Times New Roman" w:hAnsi="Times New Roman" w:cs="Times New Roman"/>
      <w:b/>
      <w:bCs/>
      <w:sz w:val="24"/>
      <w:szCs w:val="24"/>
    </w:rPr>
  </w:style>
  <w:style w:type="character" w:customStyle="1" w:styleId="PagrindinistekstasDiagrama">
    <w:name w:val="Pagrindinis tekstas Diagrama"/>
    <w:rPr>
      <w:rFonts w:ascii="Times New Roman" w:hAnsi="Times New Roman" w:cs="Times New Roman"/>
      <w:sz w:val="24"/>
      <w:lang w:val="lt-LT"/>
    </w:rPr>
  </w:style>
  <w:style w:type="character" w:customStyle="1" w:styleId="PaantratDiagrama">
    <w:name w:val="Paantraštė Diagrama"/>
    <w:rPr>
      <w:rFonts w:ascii="Times New Roman" w:eastAsia="Times New Roman" w:hAnsi="Times New Roman" w:cs="Times New Roman"/>
      <w:b/>
      <w:bCs/>
      <w:sz w:val="24"/>
      <w:szCs w:val="24"/>
    </w:rPr>
  </w:style>
  <w:style w:type="paragraph" w:customStyle="1" w:styleId="Antrat10">
    <w:name w:val="Antraštė1"/>
    <w:basedOn w:val="prastasis"/>
    <w:next w:val="Pagrindinistekstas"/>
    <w:pPr>
      <w:spacing w:after="0" w:line="240" w:lineRule="auto"/>
      <w:jc w:val="center"/>
    </w:pPr>
    <w:rPr>
      <w:rFonts w:ascii="Times New Roman" w:eastAsia="Times New Roman" w:hAnsi="Times New Roman"/>
      <w:b/>
      <w:bCs/>
      <w:sz w:val="24"/>
      <w:szCs w:val="24"/>
    </w:rPr>
  </w:style>
  <w:style w:type="paragraph" w:styleId="Pagrindinistekstas">
    <w:name w:val="Body Text"/>
    <w:basedOn w:val="prastasis"/>
    <w:pPr>
      <w:spacing w:after="0" w:line="240" w:lineRule="auto"/>
      <w:jc w:val="center"/>
    </w:pPr>
    <w:rPr>
      <w:rFonts w:ascii="Times New Roman" w:hAnsi="Times New Roman"/>
      <w:sz w:val="24"/>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DiagramaDiagrama">
    <w:name w:val="Diagrama Diagrama"/>
    <w:basedOn w:val="prastasis"/>
    <w:pPr>
      <w:spacing w:line="240" w:lineRule="exact"/>
    </w:pPr>
    <w:rPr>
      <w:rFonts w:ascii="Tahoma" w:eastAsia="Times New Roman" w:hAnsi="Tahoma"/>
      <w:sz w:val="20"/>
      <w:szCs w:val="20"/>
      <w:lang w:val="en-US"/>
    </w:rPr>
  </w:style>
  <w:style w:type="paragraph" w:styleId="Sraopastraipa">
    <w:name w:val="List Paragraph"/>
    <w:basedOn w:val="prastasis"/>
    <w:qFormat/>
    <w:pPr>
      <w:spacing w:after="0" w:line="240" w:lineRule="auto"/>
      <w:ind w:left="720"/>
      <w:contextualSpacing/>
    </w:pPr>
    <w:rPr>
      <w:rFonts w:ascii="Times New Roman" w:eastAsia="Times New Roman" w:hAnsi="Times New Roman"/>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paragraph" w:styleId="Porat">
    <w:name w:val="footer"/>
    <w:basedOn w:val="prastasis"/>
    <w:pPr>
      <w:spacing w:after="0" w:line="240" w:lineRule="auto"/>
    </w:pPr>
  </w:style>
  <w:style w:type="paragraph" w:styleId="Antrats">
    <w:name w:val="header"/>
    <w:basedOn w:val="prastasis"/>
    <w:pPr>
      <w:spacing w:after="0" w:line="240" w:lineRule="auto"/>
    </w:pPr>
  </w:style>
  <w:style w:type="paragraph" w:styleId="Betarp">
    <w:name w:val="No Spacing"/>
    <w:qFormat/>
    <w:pPr>
      <w:suppressAutoHyphens/>
    </w:pPr>
    <w:rPr>
      <w:sz w:val="24"/>
      <w:lang w:val="en-US" w:eastAsia="zh-CN"/>
    </w:rPr>
  </w:style>
  <w:style w:type="paragraph" w:customStyle="1" w:styleId="Betarp1">
    <w:name w:val="Be tarpų1"/>
    <w:pPr>
      <w:suppressAutoHyphens/>
    </w:pPr>
    <w:rPr>
      <w:rFonts w:ascii="Calibri" w:eastAsia="Calibri" w:hAnsi="Calibri" w:cs="Calibri"/>
      <w:sz w:val="22"/>
      <w:szCs w:val="22"/>
      <w:lang w:eastAsia="zh-CN"/>
    </w:rPr>
  </w:style>
  <w:style w:type="paragraph" w:styleId="Paantrat">
    <w:name w:val="Subtitle"/>
    <w:basedOn w:val="prastasis"/>
    <w:next w:val="Pagrindinistekstas"/>
    <w:qFormat/>
    <w:pPr>
      <w:tabs>
        <w:tab w:val="left" w:pos="567"/>
      </w:tabs>
      <w:spacing w:after="0" w:line="240" w:lineRule="auto"/>
      <w:jc w:val="center"/>
    </w:pPr>
    <w:rPr>
      <w:rFonts w:ascii="Times New Roman" w:eastAsia="Times New Roman" w:hAnsi="Times New Roman"/>
      <w:b/>
      <w:bCs/>
      <w:sz w:val="24"/>
      <w:szCs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A2729A"/>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2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841ae4e238d4049ae40beffd4cb0a3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24060D-FC8B-4A27-8664-6A4DB6D1B83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76AB-6289-4BD7-A359-05BAC51D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6841ae4e238d4049ae40beffd4cb0a33.dot</Template>
  <TotalTime>1</TotalTime>
  <Pages>2</Pages>
  <Words>1820</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ŠILUTĖS RAJONO SAVIVALDYBĖS BŪSTO IR SOCIALINIO BŪSTO NUOMOS TVARKOS APRAŠO PATVIRTINIMO</vt:lpstr>
    </vt:vector>
  </TitlesOfParts>
  <Company/>
  <LinksUpToDate>false</LinksUpToDate>
  <CharactersWithSpaces>2853</CharactersWithSpaces>
  <SharedDoc>false</SharedDoc>
  <HLinks>
    <vt:vector size="6" baseType="variant">
      <vt:variant>
        <vt:i4>7340071</vt:i4>
      </vt:variant>
      <vt:variant>
        <vt:i4>0</vt:i4>
      </vt:variant>
      <vt:variant>
        <vt:i4>0</vt:i4>
      </vt:variant>
      <vt:variant>
        <vt:i4>5</vt:i4>
      </vt:variant>
      <vt:variant>
        <vt:lpwstr>\\192.168.0.28\projektai$\Tarybos_projektai_2011-2019\2021 metai\05Geguze\Registruoti\TUR32Antikor.vert.docx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BŪSTO IR SOCIALINIO BŪSTO NUOMOS TVARKOS APRAŠO PATVIRTINIMO</dc:title>
  <dc:subject>T1-189</dc:subject>
  <dc:creator>ŠILUTĖS RAJONO SAVIVALDYBĖS TARYBA</dc:creator>
  <cp:keywords/>
  <cp:lastModifiedBy>Ekonom_NG</cp:lastModifiedBy>
  <cp:revision>3</cp:revision>
  <cp:lastPrinted>2019-09-27T06:07:00Z</cp:lastPrinted>
  <dcterms:created xsi:type="dcterms:W3CDTF">2024-07-04T12:51:00Z</dcterms:created>
  <dcterms:modified xsi:type="dcterms:W3CDTF">2024-07-04T12:52:00Z</dcterms:modified>
</cp:coreProperties>
</file>