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P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5C4231C5"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4D6EB2">
        <w:rPr>
          <w:rFonts w:ascii="Times New Roman" w:eastAsia="Times New Roman" w:hAnsi="Times New Roman" w:cs="Times New Roman"/>
          <w:color w:val="000000"/>
          <w:sz w:val="24"/>
          <w:szCs w:val="20"/>
        </w:rPr>
        <w:t xml:space="preserve"> liepos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3D9AE41"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0F2EC3">
        <w:rPr>
          <w:rFonts w:ascii="Times New Roman" w:eastAsia="Times New Roman" w:hAnsi="Times New Roman" w:cs="Times New Roman"/>
          <w:b/>
          <w:sz w:val="24"/>
          <w:szCs w:val="24"/>
          <w:lang w:eastAsia="lt-LT"/>
        </w:rPr>
        <w:t>K</w:t>
      </w:r>
      <w:r w:rsidR="004F5549">
        <w:rPr>
          <w:rFonts w:ascii="Times New Roman" w:eastAsia="Times New Roman" w:hAnsi="Times New Roman" w:cs="Times New Roman"/>
          <w:b/>
          <w:sz w:val="24"/>
          <w:szCs w:val="24"/>
          <w:lang w:eastAsia="lt-LT"/>
        </w:rPr>
        <w:t xml:space="preserve">. </w:t>
      </w:r>
      <w:r w:rsidR="000F2EC3">
        <w:rPr>
          <w:rFonts w:ascii="Times New Roman" w:eastAsia="Times New Roman" w:hAnsi="Times New Roman" w:cs="Times New Roman"/>
          <w:b/>
          <w:sz w:val="24"/>
          <w:szCs w:val="24"/>
          <w:lang w:eastAsia="lt-LT"/>
        </w:rPr>
        <w:t>S</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1A776BF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BD1BE7">
        <w:rPr>
          <w:szCs w:val="24"/>
        </w:rPr>
        <w:t xml:space="preserve">. </w:t>
      </w:r>
      <w:r w:rsidR="00EC7981" w:rsidRPr="00BD1BE7">
        <w:rPr>
          <w:szCs w:val="24"/>
        </w:rPr>
        <w:t>liepos</w:t>
      </w:r>
      <w:r w:rsidR="00BD1BE7">
        <w:rPr>
          <w:szCs w:val="24"/>
        </w:rPr>
        <w:t xml:space="preserve"> 25 </w:t>
      </w:r>
      <w:r w:rsidRPr="00BD1BE7">
        <w:rPr>
          <w:szCs w:val="24"/>
        </w:rPr>
        <w:t xml:space="preserve">d. sprendimu </w:t>
      </w:r>
      <w:r w:rsidR="009E5734" w:rsidRPr="00BD1BE7">
        <w:rPr>
          <w:szCs w:val="24"/>
        </w:rPr>
        <w:t xml:space="preserve">                    </w:t>
      </w:r>
      <w:r w:rsidRPr="00BD1BE7">
        <w:rPr>
          <w:szCs w:val="24"/>
        </w:rPr>
        <w:t xml:space="preserve">Nr. </w:t>
      </w:r>
      <w:r w:rsidR="0006224A" w:rsidRPr="00BD1BE7">
        <w:rPr>
          <w:szCs w:val="24"/>
        </w:rPr>
        <w:t>T1</w:t>
      </w:r>
      <w:r w:rsidRPr="00BD1BE7">
        <w:rPr>
          <w:szCs w:val="24"/>
        </w:rPr>
        <w:t>-</w:t>
      </w:r>
      <w:r w:rsidR="000A0DBF" w:rsidRPr="00BD1BE7">
        <w:rPr>
          <w:szCs w:val="24"/>
        </w:rPr>
        <w:t xml:space="preserve">        </w:t>
      </w:r>
      <w:r w:rsidR="007A2C9A" w:rsidRPr="00BD1BE7">
        <w:rPr>
          <w:szCs w:val="24"/>
        </w:rPr>
        <w:t xml:space="preserve"> </w:t>
      </w:r>
      <w:r w:rsidRPr="00BD1BE7">
        <w:rPr>
          <w:szCs w:val="24"/>
        </w:rPr>
        <w:t>„Dėl valstybinės žemės ūkio paskirties žemės sklypo, kadastro</w:t>
      </w:r>
      <w:r w:rsidRPr="003F4BC2">
        <w:rPr>
          <w:szCs w:val="24"/>
        </w:rPr>
        <w:t xml:space="preserve"> Nr.</w:t>
      </w:r>
      <w:r w:rsidR="0006224A">
        <w:rPr>
          <w:szCs w:val="24"/>
        </w:rPr>
        <w:t xml:space="preserve"> </w:t>
      </w:r>
      <w:r w:rsidR="000F2EC3" w:rsidRPr="000F2EC3">
        <w:rPr>
          <w:szCs w:val="24"/>
        </w:rPr>
        <w:t>8827/0002:902</w:t>
      </w:r>
      <w:r w:rsidRPr="003F4BC2">
        <w:rPr>
          <w:szCs w:val="24"/>
        </w:rPr>
        <w:t xml:space="preserve">, esančio Šilutės rajono savivaldybėje, </w:t>
      </w:r>
      <w:r w:rsidR="000F2EC3">
        <w:rPr>
          <w:szCs w:val="24"/>
        </w:rPr>
        <w:t>Kintuose</w:t>
      </w:r>
      <w:r w:rsidRPr="003F4BC2">
        <w:rPr>
          <w:szCs w:val="24"/>
        </w:rPr>
        <w:t>, nuomos“</w:t>
      </w:r>
      <w:r w:rsidR="009E5734">
        <w:rPr>
          <w:szCs w:val="24"/>
        </w:rPr>
        <w:t>,</w:t>
      </w:r>
      <w:r w:rsidRPr="003F4BC2">
        <w:rPr>
          <w:szCs w:val="24"/>
        </w:rPr>
        <w:t xml:space="preserve"> nuomotojas išnuomoja, o nuomininkas išsinuomoja </w:t>
      </w:r>
      <w:r w:rsidR="000F2EC3" w:rsidRPr="000F2EC3">
        <w:rPr>
          <w:b/>
          <w:szCs w:val="24"/>
        </w:rPr>
        <w:t>1</w:t>
      </w:r>
      <w:r w:rsidR="000F2EC3">
        <w:rPr>
          <w:b/>
          <w:szCs w:val="24"/>
        </w:rPr>
        <w:t>,</w:t>
      </w:r>
      <w:r w:rsidR="000F2EC3" w:rsidRPr="000F2EC3">
        <w:rPr>
          <w:b/>
          <w:szCs w:val="24"/>
        </w:rPr>
        <w:t>7051</w:t>
      </w:r>
      <w:r w:rsidR="000F2EC3">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0F2EC3" w:rsidRPr="000F2EC3">
        <w:rPr>
          <w:b/>
          <w:szCs w:val="24"/>
        </w:rPr>
        <w:t xml:space="preserve">8827/0002:902 </w:t>
      </w:r>
      <w:r w:rsidRPr="00901A28">
        <w:rPr>
          <w:b/>
          <w:szCs w:val="24"/>
        </w:rPr>
        <w:t xml:space="preserve">(unikalus Nr. </w:t>
      </w:r>
      <w:r w:rsidR="000F2EC3" w:rsidRPr="000F2EC3">
        <w:rPr>
          <w:b/>
          <w:szCs w:val="24"/>
        </w:rPr>
        <w:t>4400-1276-5474</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0F2EC3">
        <w:rPr>
          <w:b/>
          <w:szCs w:val="24"/>
        </w:rPr>
        <w:t>Kintuose</w:t>
      </w:r>
      <w:r w:rsidRPr="00D35E20">
        <w:rPr>
          <w:b/>
          <w:szCs w:val="24"/>
        </w:rPr>
        <w:t>.</w:t>
      </w:r>
    </w:p>
    <w:p w14:paraId="5011E85F" w14:textId="25D470BF"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681E33">
        <w:rPr>
          <w:rFonts w:ascii="Times New Roman" w:eastAsia="Times New Roman" w:hAnsi="Times New Roman" w:cs="Times New Roman"/>
          <w:b/>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004F57DD"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0F2EC3" w:rsidRPr="000F2EC3">
        <w:rPr>
          <w:rFonts w:ascii="Times New Roman" w:eastAsia="Times New Roman" w:hAnsi="Times New Roman" w:cs="Times New Roman"/>
          <w:b/>
          <w:bCs/>
          <w:color w:val="000000"/>
          <w:sz w:val="24"/>
          <w:szCs w:val="20"/>
        </w:rPr>
        <w:t xml:space="preserve">kelio servitutas (202) </w:t>
      </w:r>
      <w:r w:rsidR="000F2EC3">
        <w:rPr>
          <w:rFonts w:ascii="Times New Roman" w:eastAsia="Times New Roman" w:hAnsi="Times New Roman" w:cs="Times New Roman"/>
          <w:b/>
          <w:bCs/>
          <w:color w:val="000000"/>
          <w:sz w:val="24"/>
          <w:szCs w:val="20"/>
        </w:rPr>
        <w:t>–</w:t>
      </w:r>
      <w:r w:rsidR="000F2EC3" w:rsidRPr="000F2EC3">
        <w:rPr>
          <w:rFonts w:ascii="Times New Roman" w:eastAsia="Times New Roman" w:hAnsi="Times New Roman" w:cs="Times New Roman"/>
          <w:b/>
          <w:bCs/>
          <w:color w:val="000000"/>
          <w:sz w:val="24"/>
          <w:szCs w:val="20"/>
        </w:rPr>
        <w:t xml:space="preserve"> teisė naudotis pėsčiųjų taku (tarnaujantis)</w:t>
      </w:r>
      <w:r w:rsidR="000F2EC3">
        <w:rPr>
          <w:rFonts w:ascii="Times New Roman" w:eastAsia="Times New Roman" w:hAnsi="Times New Roman" w:cs="Times New Roman"/>
          <w:b/>
          <w:bCs/>
          <w:color w:val="000000"/>
          <w:sz w:val="24"/>
          <w:szCs w:val="20"/>
        </w:rPr>
        <w:t>.</w:t>
      </w:r>
    </w:p>
    <w:p w14:paraId="78BE6AB6" w14:textId="2609E4D4"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F2EC3" w:rsidRPr="000F2EC3">
        <w:rPr>
          <w:rFonts w:ascii="Times New Roman" w:eastAsia="Times New Roman" w:hAnsi="Times New Roman" w:cs="Times New Roman"/>
          <w:b/>
          <w:sz w:val="24"/>
          <w:szCs w:val="20"/>
        </w:rPr>
        <w:t xml:space="preserve"> 5690 </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80678C">
        <w:rPr>
          <w:rFonts w:ascii="Times New Roman" w:eastAsia="Times New Roman" w:hAnsi="Times New Roman" w:cs="Times New Roman"/>
          <w:b/>
          <w:sz w:val="24"/>
          <w:szCs w:val="20"/>
        </w:rPr>
        <w:t xml:space="preserve">penki </w:t>
      </w:r>
      <w:r w:rsidR="000F2EC3">
        <w:rPr>
          <w:rFonts w:ascii="Times New Roman" w:eastAsia="Times New Roman" w:hAnsi="Times New Roman" w:cs="Times New Roman"/>
          <w:b/>
          <w:sz w:val="24"/>
          <w:szCs w:val="20"/>
        </w:rPr>
        <w:t xml:space="preserve">tūkstančiai šeši </w:t>
      </w:r>
      <w:r w:rsidR="0080678C">
        <w:rPr>
          <w:rFonts w:ascii="Times New Roman" w:eastAsia="Times New Roman" w:hAnsi="Times New Roman" w:cs="Times New Roman"/>
          <w:b/>
          <w:sz w:val="24"/>
          <w:szCs w:val="20"/>
        </w:rPr>
        <w:t xml:space="preserve">šimtai devyniasdešimt </w:t>
      </w:r>
      <w:r w:rsidRPr="00242DB7">
        <w:rPr>
          <w:rFonts w:ascii="Times New Roman" w:eastAsia="Times New Roman" w:hAnsi="Times New Roman" w:cs="Times New Roman"/>
          <w:b/>
          <w:sz w:val="24"/>
          <w:szCs w:val="20"/>
        </w:rPr>
        <w:t>eur</w:t>
      </w:r>
      <w:r w:rsidR="000F2EC3">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0A1F3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2F5571">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845B740"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2F5571">
        <w:rPr>
          <w:rFonts w:ascii="Times New Roman" w:eastAsia="Times New Roman" w:hAnsi="Times New Roman" w:cs="Times New Roman"/>
          <w:sz w:val="24"/>
          <w:szCs w:val="24"/>
          <w:lang w:eastAsia="lt-LT"/>
        </w:rPr>
        <w:t>K</w:t>
      </w:r>
      <w:r w:rsidR="004F5549">
        <w:rPr>
          <w:rFonts w:ascii="Times New Roman" w:eastAsia="Times New Roman" w:hAnsi="Times New Roman" w:cs="Times New Roman"/>
          <w:sz w:val="24"/>
          <w:szCs w:val="24"/>
          <w:lang w:eastAsia="lt-LT"/>
        </w:rPr>
        <w:t xml:space="preserve">. </w:t>
      </w:r>
      <w:r w:rsidR="002F5571">
        <w:rPr>
          <w:rFonts w:ascii="Times New Roman" w:eastAsia="Times New Roman" w:hAnsi="Times New Roman" w:cs="Times New Roman"/>
          <w:sz w:val="24"/>
          <w:szCs w:val="24"/>
          <w:lang w:eastAsia="lt-LT"/>
        </w:rPr>
        <w:t>S</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155BC489"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2F5571">
        <w:rPr>
          <w:rFonts w:ascii="Times New Roman" w:eastAsia="Times New Roman" w:hAnsi="Times New Roman" w:cs="Times New Roman"/>
          <w:sz w:val="24"/>
          <w:szCs w:val="24"/>
          <w:lang w:eastAsia="lt-LT"/>
        </w:rPr>
        <w:t xml:space="preserve">   </w:t>
      </w:r>
      <w:r w:rsidR="004F5549">
        <w:rPr>
          <w:rFonts w:ascii="Times New Roman" w:eastAsia="Times New Roman" w:hAnsi="Times New Roman" w:cs="Times New Roman"/>
          <w:sz w:val="24"/>
          <w:szCs w:val="24"/>
          <w:lang w:eastAsia="lt-LT"/>
        </w:rPr>
        <w:t xml:space="preserve">                </w:t>
      </w:r>
      <w:r w:rsidR="002F5571">
        <w:rPr>
          <w:rFonts w:ascii="Times New Roman" w:eastAsia="Times New Roman" w:hAnsi="Times New Roman" w:cs="Times New Roman"/>
          <w:sz w:val="24"/>
          <w:szCs w:val="24"/>
          <w:lang w:eastAsia="lt-LT"/>
        </w:rPr>
        <w:t>K</w:t>
      </w:r>
      <w:r w:rsidR="004F5549">
        <w:rPr>
          <w:rFonts w:ascii="Times New Roman" w:eastAsia="Times New Roman" w:hAnsi="Times New Roman" w:cs="Times New Roman"/>
          <w:sz w:val="24"/>
          <w:szCs w:val="24"/>
          <w:lang w:eastAsia="lt-LT"/>
        </w:rPr>
        <w:t xml:space="preserve">. </w:t>
      </w:r>
      <w:r w:rsidR="002F5571">
        <w:rPr>
          <w:rFonts w:ascii="Times New Roman" w:eastAsia="Times New Roman" w:hAnsi="Times New Roman" w:cs="Times New Roman"/>
          <w:sz w:val="24"/>
          <w:szCs w:val="24"/>
          <w:lang w:eastAsia="lt-LT"/>
        </w:rPr>
        <w:t>S</w:t>
      </w:r>
      <w:r w:rsidR="004F5549">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9E9DD" w14:textId="77777777" w:rsidR="00FA1CA1" w:rsidRDefault="00FA1CA1" w:rsidP="00242DB7">
      <w:pPr>
        <w:spacing w:after="0" w:line="240" w:lineRule="auto"/>
      </w:pPr>
      <w:r>
        <w:separator/>
      </w:r>
    </w:p>
  </w:endnote>
  <w:endnote w:type="continuationSeparator" w:id="0">
    <w:p w14:paraId="616C20CB" w14:textId="77777777" w:rsidR="00FA1CA1" w:rsidRDefault="00FA1CA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8AB1D" w14:textId="77777777" w:rsidR="00FA1CA1" w:rsidRDefault="00FA1CA1" w:rsidP="00242DB7">
      <w:pPr>
        <w:spacing w:after="0" w:line="240" w:lineRule="auto"/>
      </w:pPr>
      <w:r>
        <w:separator/>
      </w:r>
    </w:p>
  </w:footnote>
  <w:footnote w:type="continuationSeparator" w:id="0">
    <w:p w14:paraId="00DB7A11" w14:textId="77777777" w:rsidR="00FA1CA1" w:rsidRDefault="00FA1CA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42C37"/>
    <w:rsid w:val="00052A10"/>
    <w:rsid w:val="0006224A"/>
    <w:rsid w:val="00072BE4"/>
    <w:rsid w:val="000842F2"/>
    <w:rsid w:val="00093FE9"/>
    <w:rsid w:val="00094EC9"/>
    <w:rsid w:val="000A0DBF"/>
    <w:rsid w:val="000C7DBB"/>
    <w:rsid w:val="000E486A"/>
    <w:rsid w:val="000F2EC3"/>
    <w:rsid w:val="000F3392"/>
    <w:rsid w:val="000F4B48"/>
    <w:rsid w:val="000F55C3"/>
    <w:rsid w:val="001018BD"/>
    <w:rsid w:val="00105A97"/>
    <w:rsid w:val="001334FB"/>
    <w:rsid w:val="00140C2B"/>
    <w:rsid w:val="00150B6F"/>
    <w:rsid w:val="001C188E"/>
    <w:rsid w:val="001E1019"/>
    <w:rsid w:val="00223964"/>
    <w:rsid w:val="00242DB7"/>
    <w:rsid w:val="00266665"/>
    <w:rsid w:val="002B70B9"/>
    <w:rsid w:val="002E641F"/>
    <w:rsid w:val="002E74B3"/>
    <w:rsid w:val="002F5571"/>
    <w:rsid w:val="0031035B"/>
    <w:rsid w:val="00356AED"/>
    <w:rsid w:val="0036777E"/>
    <w:rsid w:val="00391B11"/>
    <w:rsid w:val="003E10FE"/>
    <w:rsid w:val="003F4BC2"/>
    <w:rsid w:val="004159C1"/>
    <w:rsid w:val="004C38BB"/>
    <w:rsid w:val="004C391D"/>
    <w:rsid w:val="004D6EB2"/>
    <w:rsid w:val="004F5549"/>
    <w:rsid w:val="00526197"/>
    <w:rsid w:val="00577783"/>
    <w:rsid w:val="005966BE"/>
    <w:rsid w:val="005D3126"/>
    <w:rsid w:val="005D4ECE"/>
    <w:rsid w:val="0061208B"/>
    <w:rsid w:val="006314DB"/>
    <w:rsid w:val="00681E33"/>
    <w:rsid w:val="00683166"/>
    <w:rsid w:val="00693B38"/>
    <w:rsid w:val="00702AB2"/>
    <w:rsid w:val="007478FE"/>
    <w:rsid w:val="007555E1"/>
    <w:rsid w:val="007665FB"/>
    <w:rsid w:val="007A2C9A"/>
    <w:rsid w:val="0080678C"/>
    <w:rsid w:val="008562D9"/>
    <w:rsid w:val="00874530"/>
    <w:rsid w:val="00880F0B"/>
    <w:rsid w:val="0088600F"/>
    <w:rsid w:val="008C089E"/>
    <w:rsid w:val="00901A28"/>
    <w:rsid w:val="009101BD"/>
    <w:rsid w:val="00914558"/>
    <w:rsid w:val="009160E6"/>
    <w:rsid w:val="009376FB"/>
    <w:rsid w:val="00940833"/>
    <w:rsid w:val="00940EF3"/>
    <w:rsid w:val="0094198E"/>
    <w:rsid w:val="00951CC7"/>
    <w:rsid w:val="00953546"/>
    <w:rsid w:val="009726DA"/>
    <w:rsid w:val="009937D0"/>
    <w:rsid w:val="009B29F3"/>
    <w:rsid w:val="009B5615"/>
    <w:rsid w:val="009E5734"/>
    <w:rsid w:val="00A163C0"/>
    <w:rsid w:val="00A31662"/>
    <w:rsid w:val="00A54B46"/>
    <w:rsid w:val="00A65EBF"/>
    <w:rsid w:val="00A70415"/>
    <w:rsid w:val="00AE02AD"/>
    <w:rsid w:val="00AE3E8B"/>
    <w:rsid w:val="00AF0988"/>
    <w:rsid w:val="00B03C4F"/>
    <w:rsid w:val="00B35984"/>
    <w:rsid w:val="00B666C3"/>
    <w:rsid w:val="00B70C1E"/>
    <w:rsid w:val="00BA0D2C"/>
    <w:rsid w:val="00BB0307"/>
    <w:rsid w:val="00BD1BE7"/>
    <w:rsid w:val="00BD6699"/>
    <w:rsid w:val="00C162A7"/>
    <w:rsid w:val="00C35631"/>
    <w:rsid w:val="00C5303A"/>
    <w:rsid w:val="00C559A3"/>
    <w:rsid w:val="00C82118"/>
    <w:rsid w:val="00C85074"/>
    <w:rsid w:val="00CB294C"/>
    <w:rsid w:val="00CE4222"/>
    <w:rsid w:val="00CF0A88"/>
    <w:rsid w:val="00D20734"/>
    <w:rsid w:val="00D21CC0"/>
    <w:rsid w:val="00D224E7"/>
    <w:rsid w:val="00D35E20"/>
    <w:rsid w:val="00D502FF"/>
    <w:rsid w:val="00D55996"/>
    <w:rsid w:val="00DA09B9"/>
    <w:rsid w:val="00DE1409"/>
    <w:rsid w:val="00DF5528"/>
    <w:rsid w:val="00E17A3A"/>
    <w:rsid w:val="00E27F79"/>
    <w:rsid w:val="00E30C94"/>
    <w:rsid w:val="00E3538E"/>
    <w:rsid w:val="00E53F97"/>
    <w:rsid w:val="00E6468D"/>
    <w:rsid w:val="00E657A7"/>
    <w:rsid w:val="00E9640B"/>
    <w:rsid w:val="00EC7981"/>
    <w:rsid w:val="00F178B4"/>
    <w:rsid w:val="00F21AB6"/>
    <w:rsid w:val="00F34FF1"/>
    <w:rsid w:val="00F719B3"/>
    <w:rsid w:val="00F76F3A"/>
    <w:rsid w:val="00FA1CA1"/>
    <w:rsid w:val="00FE4FAD"/>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4016</Words>
  <Characters>2290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3</cp:revision>
  <cp:lastPrinted>2024-03-06T13:30:00Z</cp:lastPrinted>
  <dcterms:created xsi:type="dcterms:W3CDTF">2024-06-25T13:18:00Z</dcterms:created>
  <dcterms:modified xsi:type="dcterms:W3CDTF">2024-07-03T07:30:00Z</dcterms:modified>
</cp:coreProperties>
</file>