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8BF2D" w14:textId="77777777" w:rsidR="005E6E4A" w:rsidRPr="00D14976" w:rsidRDefault="005E6E4A" w:rsidP="005E6E4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14976">
        <w:rPr>
          <w:rFonts w:ascii="Times New Roman" w:eastAsia="Times New Roman" w:hAnsi="Times New Roman"/>
          <w:b/>
          <w:sz w:val="24"/>
          <w:szCs w:val="24"/>
        </w:rPr>
        <w:t xml:space="preserve">ŠILUTĖS RAJONO SAVIVALDYBĖS </w:t>
      </w:r>
    </w:p>
    <w:p w14:paraId="24AB1CAE" w14:textId="77777777" w:rsidR="005E6E4A" w:rsidRPr="00D14976" w:rsidRDefault="005E6E4A" w:rsidP="005E6E4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14976">
        <w:rPr>
          <w:rFonts w:ascii="Times New Roman" w:eastAsia="Times New Roman" w:hAnsi="Times New Roman"/>
          <w:b/>
          <w:sz w:val="24"/>
          <w:szCs w:val="24"/>
        </w:rPr>
        <w:t>KONTROLĖS IR AUDITO TARNYBA</w:t>
      </w:r>
    </w:p>
    <w:p w14:paraId="5378184D" w14:textId="77777777" w:rsidR="005E6E4A" w:rsidRPr="00D14976" w:rsidRDefault="005E6E4A" w:rsidP="005E6E4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1491AB0" w14:textId="77777777" w:rsidR="005E6E4A" w:rsidRPr="00D14976" w:rsidRDefault="005E6E4A" w:rsidP="005E6E4A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 w:rsidRPr="00D14976">
        <w:rPr>
          <w:rFonts w:ascii="Times New Roman" w:eastAsia="Times New Roman" w:hAnsi="Times New Roman"/>
          <w:b/>
          <w:caps/>
          <w:sz w:val="24"/>
          <w:szCs w:val="24"/>
        </w:rPr>
        <w:t>aiškinamasis raštas</w:t>
      </w:r>
    </w:p>
    <w:p w14:paraId="2C91AE2D" w14:textId="77777777" w:rsidR="005E6E4A" w:rsidRPr="00D14976" w:rsidRDefault="005E6E4A" w:rsidP="005E6E4A">
      <w:pPr>
        <w:spacing w:after="0" w:line="240" w:lineRule="auto"/>
        <w:ind w:left="142" w:hanging="142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14976">
        <w:rPr>
          <w:rFonts w:ascii="Times New Roman" w:eastAsia="Times New Roman" w:hAnsi="Times New Roman"/>
          <w:b/>
          <w:sz w:val="24"/>
          <w:szCs w:val="24"/>
        </w:rPr>
        <w:t xml:space="preserve">DĖL SAVIVALDYBĖS TARYBOS SPRENDIMO PROJEKTO „DĖL ŠILUTĖS RAJONO SAVIVALDYBĖS KONTROLĖS IR AUDITO TARNYBOS NUOSTATŲ PATVIRTINIMO“ </w:t>
      </w:r>
    </w:p>
    <w:p w14:paraId="6BD3BED3" w14:textId="77777777" w:rsidR="005E6E4A" w:rsidRPr="00D14976" w:rsidRDefault="005E6E4A" w:rsidP="005E6E4A">
      <w:pPr>
        <w:spacing w:after="0" w:line="240" w:lineRule="auto"/>
        <w:ind w:left="142" w:hanging="14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54C939F" w14:textId="29C159B3" w:rsidR="005E6E4A" w:rsidRPr="00D14976" w:rsidRDefault="005E6E4A" w:rsidP="005E6E4A">
      <w:pPr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eastAsia="Times New Roman" w:hAnsi="Times New Roman"/>
          <w:sz w:val="24"/>
          <w:szCs w:val="24"/>
        </w:rPr>
      </w:pPr>
      <w:r w:rsidRPr="00D14976">
        <w:rPr>
          <w:rFonts w:ascii="Times New Roman" w:eastAsia="Times New Roman" w:hAnsi="Times New Roman"/>
          <w:sz w:val="24"/>
          <w:szCs w:val="24"/>
        </w:rPr>
        <w:t xml:space="preserve">2024 m. </w:t>
      </w:r>
      <w:r w:rsidR="00D67ADF" w:rsidRPr="00D14976">
        <w:rPr>
          <w:rFonts w:ascii="Times New Roman" w:eastAsia="Times New Roman" w:hAnsi="Times New Roman"/>
          <w:sz w:val="24"/>
          <w:szCs w:val="24"/>
        </w:rPr>
        <w:t>rugpjūčio</w:t>
      </w:r>
      <w:r w:rsidRPr="00D14976">
        <w:rPr>
          <w:rFonts w:ascii="Times New Roman" w:eastAsia="Times New Roman" w:hAnsi="Times New Roman"/>
          <w:sz w:val="24"/>
          <w:szCs w:val="24"/>
        </w:rPr>
        <w:t xml:space="preserve">      d.</w:t>
      </w:r>
    </w:p>
    <w:p w14:paraId="55C8150D" w14:textId="77777777" w:rsidR="005E6E4A" w:rsidRPr="00D14976" w:rsidRDefault="005E6E4A" w:rsidP="005E6E4A">
      <w:pPr>
        <w:tabs>
          <w:tab w:val="left" w:pos="0"/>
        </w:tabs>
        <w:spacing w:after="0" w:line="240" w:lineRule="auto"/>
        <w:ind w:left="142" w:hanging="142"/>
        <w:jc w:val="center"/>
        <w:rPr>
          <w:rFonts w:ascii="Times New Roman" w:eastAsia="Times New Roman" w:hAnsi="Times New Roman"/>
          <w:sz w:val="24"/>
          <w:szCs w:val="24"/>
        </w:rPr>
      </w:pPr>
      <w:r w:rsidRPr="00D14976">
        <w:rPr>
          <w:rFonts w:ascii="Times New Roman" w:eastAsia="Times New Roman" w:hAnsi="Times New Roman"/>
          <w:sz w:val="24"/>
          <w:szCs w:val="24"/>
        </w:rPr>
        <w:t>Šilutė</w:t>
      </w:r>
    </w:p>
    <w:tbl>
      <w:tblPr>
        <w:tblW w:w="10080" w:type="dxa"/>
        <w:tblInd w:w="-252" w:type="dxa"/>
        <w:tblLook w:val="0000" w:firstRow="0" w:lastRow="0" w:firstColumn="0" w:lastColumn="0" w:noHBand="0" w:noVBand="0"/>
      </w:tblPr>
      <w:tblGrid>
        <w:gridCol w:w="10080"/>
      </w:tblGrid>
      <w:tr w:rsidR="005E6E4A" w:rsidRPr="00D14976" w14:paraId="5DAEE721" w14:textId="77777777" w:rsidTr="00E27A1E">
        <w:tc>
          <w:tcPr>
            <w:tcW w:w="10080" w:type="dxa"/>
          </w:tcPr>
          <w:p w14:paraId="77DC68D7" w14:textId="77777777" w:rsidR="005E6E4A" w:rsidRPr="00D14976" w:rsidRDefault="005E6E4A" w:rsidP="00FC357E">
            <w:pPr>
              <w:tabs>
                <w:tab w:val="left" w:pos="142"/>
                <w:tab w:val="left" w:pos="9923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1497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1. Parengto projekto tikslai ir uždaviniai.</w:t>
            </w:r>
          </w:p>
        </w:tc>
      </w:tr>
      <w:tr w:rsidR="005E6E4A" w:rsidRPr="00D14976" w14:paraId="20FF0283" w14:textId="77777777" w:rsidTr="00E27A1E">
        <w:tc>
          <w:tcPr>
            <w:tcW w:w="10080" w:type="dxa"/>
          </w:tcPr>
          <w:p w14:paraId="19E5D3E7" w14:textId="50D99DAA" w:rsidR="005E6E4A" w:rsidRPr="00D14976" w:rsidRDefault="005D4E59" w:rsidP="00F3672E">
            <w:pPr>
              <w:tabs>
                <w:tab w:val="left" w:pos="142"/>
                <w:tab w:val="left" w:pos="9923"/>
              </w:tabs>
              <w:spacing w:after="0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976">
              <w:rPr>
                <w:rFonts w:ascii="Times New Roman" w:hAnsi="Times New Roman"/>
                <w:sz w:val="24"/>
                <w:szCs w:val="24"/>
              </w:rPr>
              <w:t>Sprendimo projektas parengtas siekiant įgyvendinti pasikeitusias Vietos</w:t>
            </w:r>
            <w:r w:rsidRPr="00D14976">
              <w:rPr>
                <w:rFonts w:ascii="Times New Roman" w:eastAsia="Times New Roman" w:hAnsi="Times New Roman"/>
                <w:sz w:val="24"/>
                <w:szCs w:val="24"/>
              </w:rPr>
              <w:t xml:space="preserve"> savivaldos</w:t>
            </w:r>
            <w:r w:rsidRPr="00D14976">
              <w:rPr>
                <w:rFonts w:ascii="Times New Roman" w:hAnsi="Times New Roman"/>
                <w:sz w:val="24"/>
                <w:szCs w:val="24"/>
              </w:rPr>
              <w:t>, Biudžetinių įstaigų įstatymų nuostatas ir patvirtinti atnaujintus Šilutės rajono s</w:t>
            </w:r>
            <w:r w:rsidRPr="00D14976">
              <w:rPr>
                <w:rFonts w:ascii="Times New Roman" w:eastAsia="Times New Roman" w:hAnsi="Times New Roman"/>
                <w:sz w:val="24"/>
                <w:szCs w:val="24"/>
              </w:rPr>
              <w:t xml:space="preserve">avivaldybės kontrolės ir audito tarnybos </w:t>
            </w:r>
            <w:r w:rsidRPr="00D14976">
              <w:rPr>
                <w:rFonts w:ascii="Times New Roman" w:hAnsi="Times New Roman"/>
                <w:sz w:val="24"/>
                <w:szCs w:val="24"/>
              </w:rPr>
              <w:t xml:space="preserve">nuostatus, kurie atitiks galiojantį teisinį reglamentavimą. </w:t>
            </w:r>
          </w:p>
        </w:tc>
      </w:tr>
      <w:tr w:rsidR="005E6E4A" w:rsidRPr="00D14976" w14:paraId="6EE4FC69" w14:textId="77777777" w:rsidTr="00E27A1E">
        <w:tc>
          <w:tcPr>
            <w:tcW w:w="10080" w:type="dxa"/>
          </w:tcPr>
          <w:p w14:paraId="72101AE7" w14:textId="77777777" w:rsidR="005E6E4A" w:rsidRPr="00D14976" w:rsidRDefault="005E6E4A" w:rsidP="00F3672E">
            <w:pPr>
              <w:tabs>
                <w:tab w:val="left" w:pos="142"/>
                <w:tab w:val="left" w:pos="9923"/>
              </w:tabs>
              <w:spacing w:after="0"/>
              <w:ind w:left="142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1497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2. Kaip šiuo metu yra sureguliuoti projekte aptarti klausimai.</w:t>
            </w:r>
          </w:p>
        </w:tc>
      </w:tr>
      <w:tr w:rsidR="005E6E4A" w:rsidRPr="00D14976" w14:paraId="5C5F4F0B" w14:textId="77777777" w:rsidTr="00E27A1E">
        <w:tc>
          <w:tcPr>
            <w:tcW w:w="10080" w:type="dxa"/>
          </w:tcPr>
          <w:p w14:paraId="61B448F2" w14:textId="2DD947BE" w:rsidR="00281A6F" w:rsidRPr="00D14976" w:rsidRDefault="005E6E4A" w:rsidP="00526387">
            <w:pPr>
              <w:tabs>
                <w:tab w:val="left" w:pos="142"/>
                <w:tab w:val="left" w:pos="9923"/>
              </w:tabs>
              <w:spacing w:after="0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976">
              <w:rPr>
                <w:rFonts w:ascii="Times New Roman" w:eastAsia="Times New Roman" w:hAnsi="Times New Roman"/>
                <w:sz w:val="24"/>
                <w:szCs w:val="24"/>
              </w:rPr>
              <w:t xml:space="preserve">Kontrolės ir audito tarnybos </w:t>
            </w:r>
            <w:r w:rsidR="003F6D10" w:rsidRPr="00D14976">
              <w:rPr>
                <w:rFonts w:ascii="Times New Roman" w:eastAsia="Times New Roman" w:hAnsi="Times New Roman"/>
                <w:sz w:val="24"/>
                <w:szCs w:val="24"/>
              </w:rPr>
              <w:t xml:space="preserve">(toliau – biudžetinė įstaiga) </w:t>
            </w:r>
            <w:r w:rsidRPr="00D14976">
              <w:rPr>
                <w:rFonts w:ascii="Times New Roman" w:eastAsia="Times New Roman" w:hAnsi="Times New Roman"/>
                <w:sz w:val="24"/>
                <w:szCs w:val="24"/>
              </w:rPr>
              <w:t>veiklos nuostatai, patvirtinti Savivaldybės tarybos 2022</w:t>
            </w:r>
            <w:r w:rsidR="009B5B83" w:rsidRPr="00D14976">
              <w:rPr>
                <w:rFonts w:ascii="Times New Roman" w:eastAsia="Times New Roman" w:hAnsi="Times New Roman"/>
                <w:sz w:val="24"/>
                <w:szCs w:val="24"/>
              </w:rPr>
              <w:t xml:space="preserve"> m. balandžio </w:t>
            </w:r>
            <w:r w:rsidRPr="00D14976">
              <w:rPr>
                <w:rFonts w:ascii="Times New Roman" w:eastAsia="Times New Roman" w:hAnsi="Times New Roman"/>
                <w:sz w:val="24"/>
                <w:szCs w:val="24"/>
              </w:rPr>
              <w:t xml:space="preserve">28 </w:t>
            </w:r>
            <w:r w:rsidR="009B5B83" w:rsidRPr="00D14976">
              <w:rPr>
                <w:rFonts w:ascii="Times New Roman" w:eastAsia="Times New Roman" w:hAnsi="Times New Roman"/>
                <w:sz w:val="24"/>
                <w:szCs w:val="24"/>
              </w:rPr>
              <w:t xml:space="preserve">d. </w:t>
            </w:r>
            <w:r w:rsidRPr="00D14976">
              <w:rPr>
                <w:rFonts w:ascii="Times New Roman" w:eastAsia="Times New Roman" w:hAnsi="Times New Roman"/>
                <w:sz w:val="24"/>
                <w:szCs w:val="24"/>
              </w:rPr>
              <w:t xml:space="preserve">sprendimu Nr. T1-1036, tik iš dalies šiuo metu atitinka teisės aktais reglamentuotą bei faktiškai atliekamą Tarnybos veiklą. </w:t>
            </w:r>
          </w:p>
        </w:tc>
      </w:tr>
      <w:tr w:rsidR="005E6E4A" w:rsidRPr="00D14976" w14:paraId="6D3C18D9" w14:textId="77777777" w:rsidTr="00E27A1E">
        <w:tc>
          <w:tcPr>
            <w:tcW w:w="10080" w:type="dxa"/>
          </w:tcPr>
          <w:p w14:paraId="4F683EC0" w14:textId="77777777" w:rsidR="005E6E4A" w:rsidRPr="00D14976" w:rsidRDefault="005E6E4A" w:rsidP="00FC357E">
            <w:pPr>
              <w:tabs>
                <w:tab w:val="left" w:pos="142"/>
                <w:tab w:val="left" w:pos="9923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1497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3.Kokių pozityvių rezultatų laukiama.</w:t>
            </w:r>
          </w:p>
        </w:tc>
      </w:tr>
      <w:tr w:rsidR="005E6E4A" w:rsidRPr="00D14976" w14:paraId="547FAD14" w14:textId="77777777" w:rsidTr="00E27A1E">
        <w:tc>
          <w:tcPr>
            <w:tcW w:w="10080" w:type="dxa"/>
            <w:shd w:val="clear" w:color="auto" w:fill="auto"/>
          </w:tcPr>
          <w:p w14:paraId="072F0FF6" w14:textId="1B342C86" w:rsidR="005630E4" w:rsidRPr="00D14976" w:rsidRDefault="005630E4" w:rsidP="00E27A1E">
            <w:pPr>
              <w:tabs>
                <w:tab w:val="left" w:pos="33"/>
                <w:tab w:val="left" w:pos="1550"/>
                <w:tab w:val="left" w:pos="9608"/>
              </w:tabs>
              <w:spacing w:after="0"/>
              <w:ind w:left="142" w:firstLine="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976">
              <w:rPr>
                <w:rFonts w:ascii="Times New Roman" w:eastAsia="Times New Roman" w:hAnsi="Times New Roman"/>
                <w:sz w:val="24"/>
                <w:szCs w:val="24"/>
              </w:rPr>
              <w:t xml:space="preserve">2024 m. pradžioje įsigaliojo Biudžetinių įstaigų </w:t>
            </w:r>
            <w:r w:rsidR="00125592" w:rsidRPr="00D14976">
              <w:rPr>
                <w:rFonts w:ascii="Times New Roman" w:eastAsia="Times New Roman" w:hAnsi="Times New Roman"/>
                <w:sz w:val="24"/>
                <w:szCs w:val="24"/>
              </w:rPr>
              <w:t xml:space="preserve">įstatymo nauja redakcija, taip pat pakeistas </w:t>
            </w:r>
            <w:hyperlink r:id="rId5" w:history="1">
              <w:r w:rsidR="0010452B" w:rsidRPr="00D14976">
                <w:rPr>
                  <w:rFonts w:ascii="Times New Roman" w:eastAsia="Times New Roman" w:hAnsi="Times New Roman"/>
                  <w:sz w:val="24"/>
                  <w:szCs w:val="24"/>
                </w:rPr>
                <w:t>V</w:t>
              </w:r>
              <w:r w:rsidR="0010452B" w:rsidRPr="00D14976">
                <w:rPr>
                  <w:rFonts w:ascii="Times New Roman" w:hAnsi="Times New Roman"/>
                  <w:sz w:val="24"/>
                  <w:szCs w:val="24"/>
                </w:rPr>
                <w:t>ietos</w:t>
              </w:r>
            </w:hyperlink>
            <w:r w:rsidR="0010452B" w:rsidRPr="00D1497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E7387" w:rsidRPr="00D14976">
              <w:rPr>
                <w:rFonts w:ascii="Times New Roman" w:eastAsia="Times New Roman" w:hAnsi="Times New Roman"/>
                <w:sz w:val="24"/>
                <w:szCs w:val="24"/>
              </w:rPr>
              <w:t xml:space="preserve"> savivaldos įstatymas</w:t>
            </w:r>
            <w:r w:rsidR="00125592" w:rsidRPr="00D14976">
              <w:rPr>
                <w:rFonts w:ascii="Times New Roman" w:eastAsia="Times New Roman" w:hAnsi="Times New Roman"/>
                <w:sz w:val="24"/>
                <w:szCs w:val="24"/>
              </w:rPr>
              <w:t>, todėl biudžetinės įstaigos nuostatai turi būti suderinti su naujomis įstatymų nuostatomis.</w:t>
            </w:r>
            <w:r w:rsidR="0013433B" w:rsidRPr="00D14976">
              <w:rPr>
                <w:rFonts w:ascii="Times New Roman" w:eastAsia="Times New Roman" w:hAnsi="Times New Roman"/>
                <w:sz w:val="24"/>
                <w:szCs w:val="24"/>
              </w:rPr>
              <w:t xml:space="preserve"> Nuostatai išdėstyti nauja redakcija, papildyti naujomis sąvokomis, funkcijomis.</w:t>
            </w:r>
          </w:p>
          <w:p w14:paraId="51678271" w14:textId="18B818FD" w:rsidR="0013433B" w:rsidRPr="00D14976" w:rsidRDefault="00A268C4" w:rsidP="00E27A1E">
            <w:pPr>
              <w:tabs>
                <w:tab w:val="left" w:pos="33"/>
                <w:tab w:val="left" w:pos="1550"/>
                <w:tab w:val="left" w:pos="9608"/>
              </w:tabs>
              <w:spacing w:after="0"/>
              <w:ind w:left="142" w:firstLine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976">
              <w:rPr>
                <w:rFonts w:ascii="Times New Roman" w:eastAsia="Times New Roman" w:hAnsi="Times New Roman"/>
                <w:sz w:val="24"/>
                <w:szCs w:val="24"/>
              </w:rPr>
              <w:t xml:space="preserve">Atsižvelgiant į </w:t>
            </w:r>
            <w:r w:rsidR="00D62269" w:rsidRPr="00D14976">
              <w:rPr>
                <w:rFonts w:ascii="Times New Roman" w:eastAsia="Times New Roman" w:hAnsi="Times New Roman"/>
                <w:sz w:val="24"/>
                <w:szCs w:val="24"/>
              </w:rPr>
              <w:t xml:space="preserve">Vietos savivaldos įstatymo 15 str. 2 d. 7 p. </w:t>
            </w:r>
            <w:r w:rsidR="00EE4D25" w:rsidRPr="00D14976">
              <w:rPr>
                <w:rFonts w:ascii="Times New Roman" w:eastAsia="Times New Roman" w:hAnsi="Times New Roman"/>
                <w:sz w:val="24"/>
                <w:szCs w:val="24"/>
              </w:rPr>
              <w:t>pakeitimus</w:t>
            </w:r>
            <w:r w:rsidR="00A2235A" w:rsidRPr="00D1497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EE4D25" w:rsidRPr="00D1497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F6D10" w:rsidRPr="00D14976">
              <w:rPr>
                <w:rFonts w:ascii="Times New Roman" w:hAnsi="Times New Roman"/>
                <w:sz w:val="24"/>
                <w:szCs w:val="24"/>
              </w:rPr>
              <w:t>S</w:t>
            </w:r>
            <w:r w:rsidR="00B21C34" w:rsidRPr="00D14976">
              <w:rPr>
                <w:rFonts w:ascii="Times New Roman" w:hAnsi="Times New Roman"/>
                <w:bCs/>
                <w:sz w:val="24"/>
                <w:szCs w:val="24"/>
              </w:rPr>
              <w:t>avivaldybės taryb</w:t>
            </w:r>
            <w:r w:rsidRPr="00D14976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="00A2235A" w:rsidRPr="00D14976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B21C34" w:rsidRPr="00D149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2235A" w:rsidRPr="00D14976">
              <w:rPr>
                <w:rFonts w:ascii="Times New Roman" w:hAnsi="Times New Roman"/>
                <w:bCs/>
                <w:sz w:val="24"/>
                <w:szCs w:val="24"/>
              </w:rPr>
              <w:t xml:space="preserve">turėdama išimtinę kompetenciją, </w:t>
            </w:r>
            <w:r w:rsidR="0083301D" w:rsidRPr="00D14976">
              <w:rPr>
                <w:rFonts w:ascii="Times New Roman" w:eastAsia="Times New Roman" w:hAnsi="Times New Roman"/>
                <w:sz w:val="24"/>
                <w:szCs w:val="24"/>
              </w:rPr>
              <w:t>vykd</w:t>
            </w:r>
            <w:r w:rsidRPr="00D14976"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 w:rsidR="0083301D" w:rsidRPr="00D14976">
              <w:rPr>
                <w:rFonts w:ascii="Times New Roman" w:eastAsia="Times New Roman" w:hAnsi="Times New Roman"/>
                <w:sz w:val="24"/>
                <w:szCs w:val="24"/>
              </w:rPr>
              <w:t xml:space="preserve"> funkcijas: </w:t>
            </w:r>
            <w:r w:rsidRPr="00D14976">
              <w:rPr>
                <w:rFonts w:ascii="Times New Roman" w:hAnsi="Times New Roman"/>
                <w:sz w:val="24"/>
                <w:szCs w:val="24"/>
              </w:rPr>
              <w:t>„&lt;...&gt;</w:t>
            </w:r>
            <w:r w:rsidR="0083301D" w:rsidRPr="00D14976">
              <w:rPr>
                <w:rFonts w:ascii="Times New Roman" w:hAnsi="Times New Roman"/>
                <w:sz w:val="24"/>
                <w:szCs w:val="24"/>
              </w:rPr>
              <w:t xml:space="preserve"> savivaldybės kontrolės ir audito tarnybos metinių ataskaitų rinkinio svarstymas ir sprendimo dėl jo priėmimas, įstatymų numatyto savivaldybės kontrolieriaus darbo užmokesčio nustatymas, savivaldybės kontrolės ir audito tarnybos nuostatų tvirtinimas</w:t>
            </w:r>
            <w:r w:rsidR="00572B21" w:rsidRPr="00D14976">
              <w:rPr>
                <w:rFonts w:ascii="Times New Roman" w:hAnsi="Times New Roman"/>
                <w:sz w:val="24"/>
                <w:szCs w:val="24"/>
              </w:rPr>
              <w:t>“</w:t>
            </w:r>
            <w:r w:rsidR="00A2235A" w:rsidRPr="00D149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814AC" w:rsidRPr="00D14976">
              <w:rPr>
                <w:rFonts w:ascii="Times New Roman" w:hAnsi="Times New Roman"/>
                <w:sz w:val="24"/>
                <w:szCs w:val="24"/>
              </w:rPr>
              <w:t>Savivaldybės taryba nebevykdo šios funkcijos: „nustato didžiausią valstybės tarnautojų ir darbuotojų, dirbančių pagal darbo sutartis, pareigybių skaičių</w:t>
            </w:r>
            <w:r w:rsidR="005814AC" w:rsidRPr="00D14976">
              <w:rPr>
                <w:rFonts w:ascii="Times New Roman" w:hAnsi="Times New Roman"/>
                <w:sz w:val="24"/>
                <w:szCs w:val="24"/>
              </w:rPr>
              <w:br w:type="column"/>
              <w:t xml:space="preserve">“. </w:t>
            </w:r>
            <w:r w:rsidR="0013433B" w:rsidRPr="00D14976">
              <w:rPr>
                <w:rFonts w:ascii="Times New Roman" w:hAnsi="Times New Roman"/>
                <w:sz w:val="24"/>
                <w:szCs w:val="24"/>
              </w:rPr>
              <w:t>Šią funkciją, vadovaudamasis Vietos savivaldos įstatymo 67 str. 1 punktu vykdo savivaldybės kontrolierius: „&lt;...&gt; nustato savivaldybės kontrolės ir audito tarnybos struktūrą, valstybės tarnautojų ir darbuotojų, dirbančių pagal darbo sutartis, pareigybių skaičių ir pareigybių sąrašą, tvirtina pareigybių aprašymus</w:t>
            </w:r>
            <w:r w:rsidR="00526387" w:rsidRPr="00D14976">
              <w:rPr>
                <w:rFonts w:ascii="Times New Roman" w:hAnsi="Times New Roman"/>
                <w:sz w:val="24"/>
                <w:szCs w:val="24"/>
              </w:rPr>
              <w:t xml:space="preserve"> &lt;</w:t>
            </w:r>
            <w:r w:rsidR="0013433B" w:rsidRPr="00D14976">
              <w:rPr>
                <w:rFonts w:ascii="Times New Roman" w:hAnsi="Times New Roman"/>
                <w:sz w:val="24"/>
                <w:szCs w:val="24"/>
              </w:rPr>
              <w:t>...</w:t>
            </w:r>
            <w:r w:rsidR="00526387" w:rsidRPr="00D14976">
              <w:rPr>
                <w:rFonts w:ascii="Times New Roman" w:hAnsi="Times New Roman"/>
                <w:sz w:val="24"/>
                <w:szCs w:val="24"/>
              </w:rPr>
              <w:t>&gt;</w:t>
            </w:r>
            <w:r w:rsidR="0013433B" w:rsidRPr="00D14976">
              <w:rPr>
                <w:rFonts w:ascii="Times New Roman" w:hAnsi="Times New Roman"/>
                <w:sz w:val="24"/>
                <w:szCs w:val="24"/>
              </w:rPr>
              <w:t xml:space="preserve">“. Meras, vadovaudamasis 27 str. 2 d. 6 p. </w:t>
            </w:r>
            <w:r w:rsidR="0013433B" w:rsidRPr="00D14976">
              <w:rPr>
                <w:rFonts w:ascii="Times New Roman" w:hAnsi="Times New Roman"/>
                <w:sz w:val="24"/>
                <w:szCs w:val="24"/>
                <w:lang w:eastAsia="lt-LT"/>
              </w:rPr>
              <w:t>„</w:t>
            </w:r>
            <w:r w:rsidR="0013433B" w:rsidRPr="00D14976">
              <w:rPr>
                <w:rFonts w:ascii="Times New Roman" w:hAnsi="Times New Roman"/>
                <w:sz w:val="24"/>
                <w:szCs w:val="24"/>
              </w:rPr>
              <w:t>teikia savivaldybės tarybai tvirtinti savivaldybės biudžetinių įstaigų, išskyrus savivaldybės kontrolės ir audito tarnybą, nuostatus“</w:t>
            </w:r>
            <w:r w:rsidR="00950739" w:rsidRPr="00D149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46FB675" w14:textId="3132AC12" w:rsidR="001056ED" w:rsidRPr="00D14976" w:rsidRDefault="004D259E" w:rsidP="00E27A1E">
            <w:pPr>
              <w:tabs>
                <w:tab w:val="left" w:pos="33"/>
                <w:tab w:val="left" w:pos="1550"/>
                <w:tab w:val="left" w:pos="9608"/>
              </w:tabs>
              <w:spacing w:after="0"/>
              <w:ind w:left="142" w:firstLine="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976">
              <w:rPr>
                <w:rFonts w:ascii="Times New Roman" w:eastAsia="Times New Roman" w:hAnsi="Times New Roman"/>
                <w:sz w:val="24"/>
                <w:szCs w:val="24"/>
              </w:rPr>
              <w:t xml:space="preserve">Pasikeitus </w:t>
            </w:r>
            <w:r w:rsidR="00216DA7" w:rsidRPr="00D14976">
              <w:rPr>
                <w:rFonts w:ascii="Times New Roman" w:eastAsia="Times New Roman" w:hAnsi="Times New Roman"/>
                <w:sz w:val="24"/>
                <w:szCs w:val="24"/>
              </w:rPr>
              <w:t>Vietos savivaldos įstatym</w:t>
            </w:r>
            <w:r w:rsidR="0031641F" w:rsidRPr="00D14976"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 w:rsidR="00216DA7" w:rsidRPr="00D1497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1641F" w:rsidRPr="00D14976">
              <w:rPr>
                <w:rFonts w:ascii="Times New Roman" w:hAnsi="Times New Roman"/>
                <w:sz w:val="24"/>
                <w:szCs w:val="24"/>
              </w:rPr>
              <w:t xml:space="preserve">27 str. 2 d. 23 p. </w:t>
            </w:r>
            <w:r w:rsidR="00216DA7" w:rsidRPr="00D14976">
              <w:rPr>
                <w:rFonts w:ascii="Times New Roman" w:eastAsia="Times New Roman" w:hAnsi="Times New Roman"/>
                <w:sz w:val="24"/>
                <w:szCs w:val="24"/>
              </w:rPr>
              <w:t>Meras</w:t>
            </w:r>
            <w:r w:rsidR="0031641F" w:rsidRPr="00D14976">
              <w:rPr>
                <w:rFonts w:ascii="Times New Roman" w:eastAsia="Times New Roman" w:hAnsi="Times New Roman"/>
                <w:sz w:val="24"/>
                <w:szCs w:val="24"/>
              </w:rPr>
              <w:t xml:space="preserve"> nuo 2024-06-06 </w:t>
            </w:r>
            <w:r w:rsidR="00216DA7" w:rsidRPr="00D14976">
              <w:rPr>
                <w:rFonts w:ascii="Times New Roman" w:eastAsia="Times New Roman" w:hAnsi="Times New Roman"/>
                <w:sz w:val="24"/>
                <w:szCs w:val="24"/>
              </w:rPr>
              <w:t xml:space="preserve">nebevykdo šios funkcijos: </w:t>
            </w:r>
            <w:r w:rsidR="0031641F" w:rsidRPr="00D14976">
              <w:rPr>
                <w:rFonts w:ascii="Times New Roman" w:hAnsi="Times New Roman"/>
                <w:sz w:val="24"/>
                <w:szCs w:val="24"/>
              </w:rPr>
              <w:t>„s</w:t>
            </w:r>
            <w:r w:rsidR="00216DA7" w:rsidRPr="00D14976">
              <w:rPr>
                <w:rFonts w:ascii="Times New Roman" w:hAnsi="Times New Roman"/>
                <w:sz w:val="24"/>
                <w:szCs w:val="24"/>
              </w:rPr>
              <w:t xml:space="preserve">uteikia </w:t>
            </w:r>
            <w:r w:rsidR="00526387" w:rsidRPr="00D14976">
              <w:rPr>
                <w:rFonts w:ascii="Times New Roman" w:hAnsi="Times New Roman"/>
                <w:sz w:val="24"/>
                <w:szCs w:val="24"/>
              </w:rPr>
              <w:t xml:space="preserve">&lt;...&gt; </w:t>
            </w:r>
            <w:r w:rsidR="00216DA7" w:rsidRPr="00D14976">
              <w:rPr>
                <w:rFonts w:ascii="Times New Roman" w:hAnsi="Times New Roman"/>
                <w:sz w:val="24"/>
                <w:szCs w:val="24"/>
              </w:rPr>
              <w:t xml:space="preserve">savivaldybės kontrolieriui, kai savivaldybės kontrolieriaus nėra, – jo pavaduotojui, </w:t>
            </w:r>
            <w:r w:rsidR="00526387" w:rsidRPr="00D14976">
              <w:rPr>
                <w:rFonts w:ascii="Times New Roman" w:hAnsi="Times New Roman"/>
                <w:sz w:val="24"/>
                <w:szCs w:val="24"/>
              </w:rPr>
              <w:t>&lt;...&gt;</w:t>
            </w:r>
            <w:r w:rsidR="00216DA7" w:rsidRPr="00D14976">
              <w:rPr>
                <w:rFonts w:ascii="Times New Roman" w:hAnsi="Times New Roman"/>
                <w:sz w:val="24"/>
                <w:szCs w:val="24"/>
              </w:rPr>
              <w:t xml:space="preserve"> atostogas, siunčia </w:t>
            </w:r>
            <w:r w:rsidR="00526387" w:rsidRPr="00D14976">
              <w:rPr>
                <w:rFonts w:ascii="Times New Roman" w:hAnsi="Times New Roman"/>
                <w:sz w:val="24"/>
                <w:szCs w:val="24"/>
              </w:rPr>
              <w:t>&lt;...&gt;</w:t>
            </w:r>
            <w:r w:rsidR="00216DA7" w:rsidRPr="00D14976">
              <w:rPr>
                <w:rFonts w:ascii="Times New Roman" w:hAnsi="Times New Roman"/>
                <w:sz w:val="24"/>
                <w:szCs w:val="24"/>
              </w:rPr>
              <w:t xml:space="preserve"> savivaldybės kontrolierių, kai savivaldybės kontrolieriaus nėra, – jo pavaduotoją, </w:t>
            </w:r>
            <w:r w:rsidR="00526387" w:rsidRPr="00D14976">
              <w:rPr>
                <w:rFonts w:ascii="Times New Roman" w:hAnsi="Times New Roman"/>
                <w:sz w:val="24"/>
                <w:szCs w:val="24"/>
              </w:rPr>
              <w:t>&lt;...&gt;</w:t>
            </w:r>
            <w:r w:rsidR="00216DA7" w:rsidRPr="00D14976">
              <w:rPr>
                <w:rFonts w:ascii="Times New Roman" w:hAnsi="Times New Roman"/>
                <w:sz w:val="24"/>
                <w:szCs w:val="24"/>
              </w:rPr>
              <w:t xml:space="preserve"> į komandiruotes</w:t>
            </w:r>
            <w:r w:rsidRPr="00D149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60B23" w:rsidRPr="00D14976">
              <w:rPr>
                <w:rFonts w:ascii="Times New Roman" w:hAnsi="Times New Roman"/>
                <w:sz w:val="24"/>
                <w:szCs w:val="24"/>
              </w:rPr>
              <w:t>Šią funkciją, v</w:t>
            </w:r>
            <w:r w:rsidRPr="00D14976">
              <w:rPr>
                <w:rFonts w:ascii="Times New Roman" w:hAnsi="Times New Roman"/>
                <w:sz w:val="24"/>
                <w:szCs w:val="24"/>
              </w:rPr>
              <w:t xml:space="preserve">adovaudamasis </w:t>
            </w:r>
            <w:r w:rsidR="00360B23" w:rsidRPr="00D14976">
              <w:rPr>
                <w:rFonts w:ascii="Times New Roman" w:hAnsi="Times New Roman"/>
                <w:sz w:val="24"/>
                <w:szCs w:val="24"/>
              </w:rPr>
              <w:t xml:space="preserve">Vietos savivaldos įstatymo 67 str. </w:t>
            </w:r>
            <w:r w:rsidR="000028ED" w:rsidRPr="00D14976">
              <w:rPr>
                <w:rFonts w:ascii="Times New Roman" w:hAnsi="Times New Roman"/>
                <w:sz w:val="24"/>
                <w:szCs w:val="24"/>
              </w:rPr>
              <w:t xml:space="preserve">9 d. </w:t>
            </w:r>
            <w:r w:rsidR="00360B23" w:rsidRPr="00D14976">
              <w:rPr>
                <w:rFonts w:ascii="Times New Roman" w:hAnsi="Times New Roman"/>
                <w:sz w:val="24"/>
                <w:szCs w:val="24"/>
              </w:rPr>
              <w:t xml:space="preserve">1 punktu, vykdo savivaldybės kontrolierius „&lt;...&gt; atlieka kitas savivaldybės kontrolės ir audito tarnybos personalo valdymo funkcijas“. </w:t>
            </w:r>
            <w:r w:rsidR="0082316D" w:rsidRPr="00D14976">
              <w:rPr>
                <w:rFonts w:ascii="Times New Roman" w:hAnsi="Times New Roman"/>
                <w:sz w:val="24"/>
                <w:szCs w:val="24"/>
              </w:rPr>
              <w:t>Vadinasi, s</w:t>
            </w:r>
            <w:r w:rsidR="001056ED" w:rsidRPr="00D14976">
              <w:rPr>
                <w:rFonts w:ascii="Times New Roman" w:hAnsi="Times New Roman"/>
                <w:sz w:val="24"/>
                <w:szCs w:val="24"/>
              </w:rPr>
              <w:t xml:space="preserve">avivaldybės kontrolierius priima įsakymus dėl savo vykimo į komandiruotes bei atostogų suteikimo. Savivaldybės kontrolieriaus funkcijas, kai Savivaldybės kontrolieriaus nėra dėl ligos, komandiruotės, atostogų ir kitais atvejais, kai jo laikinai nėra, atlieka Savivaldybės kontrolieriaus pavaduotojas, o kai ir jo nėra – kitas teisės aktų nustatyta tvarka paskirtas Tarnybos valstybės tarnautojas.  </w:t>
            </w:r>
          </w:p>
          <w:p w14:paraId="47AA470E" w14:textId="77777777" w:rsidR="00CC1D5F" w:rsidRPr="00D14976" w:rsidRDefault="000E5256" w:rsidP="00E27A1E">
            <w:pPr>
              <w:tabs>
                <w:tab w:val="left" w:pos="33"/>
                <w:tab w:val="left" w:pos="1550"/>
                <w:tab w:val="left" w:pos="9608"/>
              </w:tabs>
              <w:spacing w:after="0"/>
              <w:ind w:left="145" w:firstLine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976">
              <w:rPr>
                <w:rFonts w:ascii="Times New Roman" w:hAnsi="Times New Roman"/>
                <w:sz w:val="24"/>
                <w:szCs w:val="24"/>
              </w:rPr>
              <w:t xml:space="preserve">Atsižvelgiant į Vietos savivaldos įstatymo </w:t>
            </w:r>
            <w:r w:rsidR="00CC1D5F" w:rsidRPr="00D14976">
              <w:rPr>
                <w:rFonts w:ascii="Times New Roman" w:hAnsi="Times New Roman"/>
                <w:sz w:val="24"/>
                <w:szCs w:val="24"/>
              </w:rPr>
              <w:t>pakeitimus:</w:t>
            </w:r>
          </w:p>
          <w:p w14:paraId="6C137242" w14:textId="55390F88" w:rsidR="000E5256" w:rsidRPr="00D14976" w:rsidRDefault="000E5256" w:rsidP="00E27A1E">
            <w:pPr>
              <w:tabs>
                <w:tab w:val="left" w:pos="33"/>
                <w:tab w:val="left" w:pos="1550"/>
                <w:tab w:val="left" w:pos="9608"/>
              </w:tabs>
              <w:spacing w:after="0"/>
              <w:ind w:left="145" w:firstLine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9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67 str. 1 d. 2 p. keičiamas </w:t>
            </w:r>
            <w:r w:rsidR="00FF41D1" w:rsidRPr="00D14976">
              <w:rPr>
                <w:rFonts w:ascii="Times New Roman" w:hAnsi="Times New Roman"/>
                <w:sz w:val="24"/>
                <w:szCs w:val="24"/>
              </w:rPr>
              <w:t xml:space="preserve">liepos 15 d. </w:t>
            </w:r>
            <w:r w:rsidRPr="00D14976">
              <w:rPr>
                <w:rFonts w:ascii="Times New Roman" w:hAnsi="Times New Roman"/>
                <w:sz w:val="24"/>
                <w:szCs w:val="24"/>
              </w:rPr>
              <w:t>terminas dėl audito išvados pateikimo</w:t>
            </w:r>
            <w:r w:rsidR="00FF41D1" w:rsidRPr="00D14976">
              <w:rPr>
                <w:rFonts w:ascii="Times New Roman" w:hAnsi="Times New Roman"/>
                <w:sz w:val="24"/>
                <w:szCs w:val="24"/>
              </w:rPr>
              <w:t xml:space="preserve"> į gegužės 15 d.</w:t>
            </w:r>
            <w:r w:rsidRPr="00D149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4976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„</w:t>
            </w:r>
            <w:r w:rsidR="00CC1D5F" w:rsidRPr="00D14976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2) </w:t>
            </w:r>
            <w:r w:rsidRPr="00D14976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kiekvienais metais iki gegužės 15 dienos parengia ir reglamento nustatyta tvarka pateikia savivaldybės tarybai išvadą dėl pateikto tvirtinti savivaldybės metinių ataskaitų rinkinio, savivaldybės biudžeto ir turto naudojimo“;</w:t>
            </w:r>
          </w:p>
          <w:p w14:paraId="7512E88D" w14:textId="4D37AD96" w:rsidR="00686A0C" w:rsidRPr="00D14976" w:rsidRDefault="00CC1D5F" w:rsidP="00E27A1E">
            <w:pPr>
              <w:tabs>
                <w:tab w:val="left" w:pos="33"/>
                <w:tab w:val="left" w:pos="1550"/>
                <w:tab w:val="left" w:pos="9608"/>
              </w:tabs>
              <w:spacing w:after="0"/>
              <w:ind w:left="145" w:firstLine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976">
              <w:rPr>
                <w:rFonts w:ascii="Times New Roman" w:hAnsi="Times New Roman"/>
                <w:sz w:val="24"/>
                <w:szCs w:val="24"/>
              </w:rPr>
              <w:t>K</w:t>
            </w:r>
            <w:r w:rsidR="00CF0ACE" w:rsidRPr="00D14976">
              <w:rPr>
                <w:rFonts w:ascii="Times New Roman" w:hAnsi="Times New Roman"/>
                <w:sz w:val="24"/>
                <w:szCs w:val="24"/>
              </w:rPr>
              <w:t xml:space="preserve">ontrolės ir audito tarnybai nustatyta nauja, papildoma </w:t>
            </w:r>
            <w:r w:rsidR="0082316D" w:rsidRPr="00D14976">
              <w:rPr>
                <w:rFonts w:ascii="Times New Roman" w:hAnsi="Times New Roman"/>
                <w:sz w:val="24"/>
                <w:szCs w:val="24"/>
              </w:rPr>
              <w:t xml:space="preserve">tikrinimo </w:t>
            </w:r>
            <w:r w:rsidR="00CF0ACE" w:rsidRPr="00D14976">
              <w:rPr>
                <w:rFonts w:ascii="Times New Roman" w:hAnsi="Times New Roman"/>
                <w:sz w:val="24"/>
                <w:szCs w:val="24"/>
              </w:rPr>
              <w:t xml:space="preserve">funkcija – vertinimas: 67 str. </w:t>
            </w:r>
            <w:r w:rsidR="000028ED" w:rsidRPr="00D14976">
              <w:rPr>
                <w:rFonts w:ascii="Times New Roman" w:hAnsi="Times New Roman"/>
                <w:sz w:val="24"/>
                <w:szCs w:val="24"/>
              </w:rPr>
              <w:t xml:space="preserve">9 d. </w:t>
            </w:r>
            <w:r w:rsidR="00CF0ACE" w:rsidRPr="00D14976">
              <w:rPr>
                <w:rFonts w:ascii="Times New Roman" w:hAnsi="Times New Roman"/>
                <w:sz w:val="24"/>
                <w:szCs w:val="24"/>
              </w:rPr>
              <w:t>1 p. „atlieka išorės finansinį, atitikties ir veiklos auditą bei vertinimus savivaldybės administracijoje, savivaldybės administravimo subjektuose ir savivaldybės valdomose įmonėse“</w:t>
            </w:r>
            <w:r w:rsidR="000E5256" w:rsidRPr="00D14976">
              <w:rPr>
                <w:rFonts w:ascii="Times New Roman" w:hAnsi="Times New Roman"/>
                <w:sz w:val="24"/>
                <w:szCs w:val="24"/>
              </w:rPr>
              <w:t>;</w:t>
            </w:r>
            <w:r w:rsidR="000028ED" w:rsidRPr="00D149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6A0C" w:rsidRPr="00D14976">
              <w:rPr>
                <w:rFonts w:ascii="Times New Roman" w:hAnsi="Times New Roman"/>
                <w:sz w:val="24"/>
                <w:szCs w:val="24"/>
              </w:rPr>
              <w:t>67 str. 9 dalis (savivaldybės kontrolierius) papildyta nauja nuostata:</w:t>
            </w:r>
            <w:r w:rsidR="000E5256" w:rsidRPr="00D149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6A0C" w:rsidRPr="00D14976">
              <w:rPr>
                <w:rFonts w:ascii="Times New Roman" w:hAnsi="Times New Roman"/>
                <w:sz w:val="24"/>
                <w:szCs w:val="24"/>
              </w:rPr>
              <w:t xml:space="preserve">14 p. „reglamento nustatyta tvarka ir terminais pateikia </w:t>
            </w:r>
            <w:r w:rsidR="00686A0C" w:rsidRPr="00D14976">
              <w:rPr>
                <w:rFonts w:ascii="Times New Roman" w:hAnsi="Times New Roman"/>
                <w:bCs/>
                <w:sz w:val="24"/>
                <w:szCs w:val="24"/>
              </w:rPr>
              <w:t xml:space="preserve">savivaldybės kontrolės ir audito tarnybos </w:t>
            </w:r>
            <w:r w:rsidR="00686A0C" w:rsidRPr="00D14976">
              <w:rPr>
                <w:rFonts w:ascii="Times New Roman" w:hAnsi="Times New Roman"/>
                <w:sz w:val="24"/>
                <w:szCs w:val="24"/>
                <w:lang w:eastAsia="lt-LT"/>
              </w:rPr>
              <w:t>metinių ataskaitų rinkinį ir jį</w:t>
            </w:r>
            <w:r w:rsidR="00686A0C" w:rsidRPr="00D14976">
              <w:rPr>
                <w:rFonts w:ascii="Times New Roman" w:hAnsi="Times New Roman"/>
                <w:sz w:val="24"/>
                <w:szCs w:val="24"/>
              </w:rPr>
              <w:t xml:space="preserve"> paskelbia savivaldybės interneto svetainėje“;</w:t>
            </w:r>
          </w:p>
          <w:p w14:paraId="24059051" w14:textId="265D2A19" w:rsidR="000028ED" w:rsidRPr="00D14976" w:rsidRDefault="00281A6F" w:rsidP="00E27A1E">
            <w:pPr>
              <w:tabs>
                <w:tab w:val="left" w:pos="33"/>
                <w:tab w:val="left" w:pos="1550"/>
                <w:tab w:val="left" w:pos="9608"/>
              </w:tabs>
              <w:spacing w:after="0"/>
              <w:ind w:left="145" w:firstLine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976">
              <w:rPr>
                <w:rFonts w:ascii="Times New Roman" w:hAnsi="Times New Roman"/>
                <w:sz w:val="24"/>
                <w:szCs w:val="24"/>
              </w:rPr>
              <w:t>p</w:t>
            </w:r>
            <w:r w:rsidR="000028ED" w:rsidRPr="00D14976">
              <w:rPr>
                <w:rFonts w:ascii="Times New Roman" w:hAnsi="Times New Roman"/>
                <w:sz w:val="24"/>
                <w:szCs w:val="24"/>
              </w:rPr>
              <w:t xml:space="preserve">atikslintas 67 str. 9 d. 3 p. kontrolės ir audito </w:t>
            </w:r>
            <w:r w:rsidR="0082316D" w:rsidRPr="00D14976">
              <w:rPr>
                <w:rFonts w:ascii="Times New Roman" w:hAnsi="Times New Roman"/>
                <w:sz w:val="24"/>
                <w:szCs w:val="24"/>
              </w:rPr>
              <w:t xml:space="preserve">tarnybos </w:t>
            </w:r>
            <w:r w:rsidR="000028ED" w:rsidRPr="00D14976">
              <w:rPr>
                <w:rFonts w:ascii="Times New Roman" w:hAnsi="Times New Roman"/>
                <w:sz w:val="24"/>
                <w:szCs w:val="24"/>
              </w:rPr>
              <w:t xml:space="preserve">veiklos plano projekto nebereikia derinti su Kontrolės komitetu, reikia </w:t>
            </w:r>
            <w:r w:rsidR="0082316D" w:rsidRPr="00D14976">
              <w:rPr>
                <w:rFonts w:ascii="Times New Roman" w:hAnsi="Times New Roman"/>
                <w:sz w:val="24"/>
                <w:szCs w:val="24"/>
              </w:rPr>
              <w:t xml:space="preserve">Kontrolės komitetui plano projektą </w:t>
            </w:r>
            <w:r w:rsidR="000028ED" w:rsidRPr="00D14976">
              <w:rPr>
                <w:rFonts w:ascii="Times New Roman" w:hAnsi="Times New Roman"/>
                <w:sz w:val="24"/>
                <w:szCs w:val="24"/>
              </w:rPr>
              <w:t>tik pateikti: „</w:t>
            </w:r>
            <w:r w:rsidR="00CC1D5F" w:rsidRPr="00D14976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="000028ED" w:rsidRPr="00D14976">
              <w:rPr>
                <w:rFonts w:ascii="Times New Roman" w:hAnsi="Times New Roman"/>
                <w:sz w:val="24"/>
                <w:szCs w:val="24"/>
              </w:rPr>
              <w:t>sudaro savivaldybės kontrolės ir audito tarnybos veiklos plano projektą, jį teikia Kontrolės komitetui &lt;...&gt;“</w:t>
            </w:r>
            <w:r w:rsidR="00CC1D5F" w:rsidRPr="00D14976">
              <w:rPr>
                <w:rFonts w:ascii="Times New Roman" w:hAnsi="Times New Roman"/>
                <w:sz w:val="24"/>
                <w:szCs w:val="24"/>
              </w:rPr>
              <w:t>;</w:t>
            </w:r>
            <w:r w:rsidR="000028ED" w:rsidRPr="00D149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5B53A05" w14:textId="48B8D230" w:rsidR="005E6E4A" w:rsidRPr="00D14976" w:rsidRDefault="00281A6F" w:rsidP="00E27A1E">
            <w:pPr>
              <w:widowControl w:val="0"/>
              <w:tabs>
                <w:tab w:val="left" w:pos="287"/>
                <w:tab w:val="left" w:pos="709"/>
                <w:tab w:val="left" w:pos="1550"/>
                <w:tab w:val="left" w:pos="9608"/>
              </w:tabs>
              <w:ind w:left="145"/>
              <w:jc w:val="both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14976">
              <w:rPr>
                <w:rFonts w:ascii="Times New Roman" w:hAnsi="Times New Roman"/>
                <w:sz w:val="24"/>
                <w:szCs w:val="24"/>
              </w:rPr>
              <w:t>p</w:t>
            </w:r>
            <w:r w:rsidR="00CC1D5F" w:rsidRPr="00D14976">
              <w:rPr>
                <w:rFonts w:ascii="Times New Roman" w:hAnsi="Times New Roman"/>
                <w:sz w:val="24"/>
                <w:szCs w:val="24"/>
              </w:rPr>
              <w:t xml:space="preserve">apildytas 67 straipsnis nauja 13 dalimi: </w:t>
            </w:r>
            <w:r w:rsidR="00CC1D5F" w:rsidRPr="00D14976">
              <w:rPr>
                <w:rFonts w:ascii="Times New Roman" w:hAnsi="Times New Roman"/>
                <w:bCs/>
                <w:sz w:val="24"/>
                <w:szCs w:val="24"/>
              </w:rPr>
              <w:t>„13. Savivaldybės kontrolės ir audito tarnybos vidaus auditas savivaldybės tarybos iniciatyva atliekamas ne rečiau kaip kartą per 5 metus, nepriklausomo vidaus audito paslaugas įsigyjant Viešųjų pirkimų įstatymo nustatyta tvarka iš savivaldybės kontrolės ir audito tarnybai skirtų asignavimų.</w:t>
            </w:r>
            <w:r w:rsidR="00CC1D5F" w:rsidRPr="00D1497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“</w:t>
            </w:r>
          </w:p>
        </w:tc>
      </w:tr>
      <w:tr w:rsidR="005E6E4A" w:rsidRPr="00D14976" w14:paraId="795F37B3" w14:textId="77777777" w:rsidTr="00E27A1E">
        <w:tc>
          <w:tcPr>
            <w:tcW w:w="10080" w:type="dxa"/>
          </w:tcPr>
          <w:p w14:paraId="411FBB3F" w14:textId="77777777" w:rsidR="005E6E4A" w:rsidRPr="00D14976" w:rsidRDefault="005E6E4A" w:rsidP="00E27A1E">
            <w:pPr>
              <w:tabs>
                <w:tab w:val="left" w:pos="33"/>
                <w:tab w:val="left" w:pos="1550"/>
                <w:tab w:val="left" w:pos="9608"/>
              </w:tabs>
              <w:spacing w:after="0"/>
              <w:ind w:left="142" w:firstLine="3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1497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4. Galimos neigiamos priimto projekto pasekmės ir kokių priemonių reikėtų imtis, kad tokių pasekmių būtų išvengta.</w:t>
            </w:r>
          </w:p>
        </w:tc>
      </w:tr>
      <w:tr w:rsidR="005E6E4A" w:rsidRPr="00D14976" w14:paraId="019006F2" w14:textId="77777777" w:rsidTr="00E27A1E">
        <w:tc>
          <w:tcPr>
            <w:tcW w:w="10080" w:type="dxa"/>
            <w:shd w:val="clear" w:color="auto" w:fill="auto"/>
          </w:tcPr>
          <w:p w14:paraId="54E8C9BC" w14:textId="77777777" w:rsidR="005E6E4A" w:rsidRPr="00D14976" w:rsidRDefault="005E6E4A" w:rsidP="00FC357E">
            <w:pPr>
              <w:tabs>
                <w:tab w:val="left" w:pos="142"/>
                <w:tab w:val="left" w:pos="9923"/>
              </w:tabs>
              <w:spacing w:after="120" w:line="240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976">
              <w:rPr>
                <w:rFonts w:ascii="Times New Roman" w:eastAsia="Times New Roman" w:hAnsi="Times New Roman"/>
                <w:sz w:val="24"/>
                <w:szCs w:val="24"/>
              </w:rPr>
              <w:t>Nėra.</w:t>
            </w:r>
          </w:p>
        </w:tc>
      </w:tr>
      <w:tr w:rsidR="005E6E4A" w:rsidRPr="00D14976" w14:paraId="46DBF87A" w14:textId="77777777" w:rsidTr="00E27A1E">
        <w:tc>
          <w:tcPr>
            <w:tcW w:w="10080" w:type="dxa"/>
            <w:shd w:val="clear" w:color="auto" w:fill="auto"/>
          </w:tcPr>
          <w:p w14:paraId="0D6716A2" w14:textId="77777777" w:rsidR="005E6E4A" w:rsidRPr="00D14976" w:rsidRDefault="005E6E4A" w:rsidP="00F3672E">
            <w:pPr>
              <w:tabs>
                <w:tab w:val="left" w:pos="142"/>
                <w:tab w:val="left" w:pos="9923"/>
              </w:tabs>
              <w:spacing w:after="0"/>
              <w:ind w:left="142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1497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5. Kokie šios srities aktai tebegalioja (pateikiamas aktų sąrašas) ir kokius galiojančius aktus būtina pakeisti ar panaikinti; jeigu reikia Kolegijos ar mero priimamų aktų, kas ir kada juos turėtų parengti, priėmus teikiamą projektą.</w:t>
            </w:r>
          </w:p>
        </w:tc>
      </w:tr>
      <w:tr w:rsidR="005E6E4A" w:rsidRPr="00D14976" w14:paraId="27D29AB9" w14:textId="77777777" w:rsidTr="00E27A1E">
        <w:tc>
          <w:tcPr>
            <w:tcW w:w="10080" w:type="dxa"/>
          </w:tcPr>
          <w:p w14:paraId="7FD84B6D" w14:textId="1D035AC4" w:rsidR="005E6E4A" w:rsidRPr="00D14976" w:rsidRDefault="005E6E4A" w:rsidP="00F3672E">
            <w:pPr>
              <w:tabs>
                <w:tab w:val="left" w:pos="142"/>
                <w:tab w:val="left" w:pos="2082"/>
                <w:tab w:val="left" w:pos="9923"/>
              </w:tabs>
              <w:spacing w:after="0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976">
              <w:rPr>
                <w:rFonts w:ascii="Times New Roman" w:eastAsia="Times New Roman" w:hAnsi="Times New Roman"/>
                <w:sz w:val="24"/>
                <w:szCs w:val="24"/>
              </w:rPr>
              <w:t xml:space="preserve">Šiuo metu galioja Savivaldybės </w:t>
            </w:r>
            <w:r w:rsidR="005D4E59" w:rsidRPr="00D14976"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 w:rsidRPr="00D14976">
              <w:rPr>
                <w:rFonts w:ascii="Times New Roman" w:eastAsia="Times New Roman" w:hAnsi="Times New Roman"/>
                <w:sz w:val="24"/>
                <w:szCs w:val="24"/>
              </w:rPr>
              <w:t>ontrolės ir audito tarnybos veiklos nuostatai, patvirtinti Savivaldybės tarybos 2022</w:t>
            </w:r>
            <w:r w:rsidR="009B5B83" w:rsidRPr="00D14976">
              <w:rPr>
                <w:rFonts w:ascii="Times New Roman" w:eastAsia="Times New Roman" w:hAnsi="Times New Roman"/>
                <w:sz w:val="24"/>
                <w:szCs w:val="24"/>
              </w:rPr>
              <w:t xml:space="preserve"> m. balandžio </w:t>
            </w:r>
            <w:r w:rsidRPr="00D14976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  <w:r w:rsidR="009B5B83" w:rsidRPr="00D14976">
              <w:rPr>
                <w:rFonts w:ascii="Times New Roman" w:eastAsia="Times New Roman" w:hAnsi="Times New Roman"/>
                <w:sz w:val="24"/>
                <w:szCs w:val="24"/>
              </w:rPr>
              <w:t xml:space="preserve"> d.</w:t>
            </w:r>
            <w:r w:rsidRPr="00D14976">
              <w:rPr>
                <w:rFonts w:ascii="Times New Roman" w:eastAsia="Times New Roman" w:hAnsi="Times New Roman"/>
                <w:sz w:val="24"/>
                <w:szCs w:val="24"/>
              </w:rPr>
              <w:t xml:space="preserve"> sprendimu Nr. T1-1036</w:t>
            </w:r>
            <w:r w:rsidR="005D4E59" w:rsidRPr="00D14976">
              <w:rPr>
                <w:rFonts w:ascii="Times New Roman" w:eastAsia="Times New Roman" w:hAnsi="Times New Roman"/>
                <w:sz w:val="24"/>
                <w:szCs w:val="24"/>
              </w:rPr>
              <w:t xml:space="preserve"> „Dėl Šilutės rajono savivaldybės kontrolės ir audito tarnybos nuostatų patvirtinimo“.</w:t>
            </w:r>
          </w:p>
        </w:tc>
      </w:tr>
      <w:tr w:rsidR="005E6E4A" w:rsidRPr="00D14976" w14:paraId="1FBA27F0" w14:textId="77777777" w:rsidTr="00E27A1E">
        <w:tc>
          <w:tcPr>
            <w:tcW w:w="10080" w:type="dxa"/>
          </w:tcPr>
          <w:p w14:paraId="55866414" w14:textId="77777777" w:rsidR="005E6E4A" w:rsidRPr="00D14976" w:rsidRDefault="005E6E4A" w:rsidP="00F3672E">
            <w:pPr>
              <w:tabs>
                <w:tab w:val="left" w:pos="142"/>
                <w:tab w:val="num" w:pos="720"/>
                <w:tab w:val="left" w:pos="9923"/>
              </w:tabs>
              <w:spacing w:after="0"/>
              <w:ind w:left="142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D1497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6. </w:t>
            </w:r>
            <w:r w:rsidRPr="00D1497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Jeigu reikia atlikti sprendimo projekto antikorupcinį vertinimą, sprendžia projekto rengėjas, atsižvelgdamas į Teisės aktų projektų antikorupcinio vertinimo taisykles.</w:t>
            </w:r>
          </w:p>
        </w:tc>
      </w:tr>
      <w:tr w:rsidR="005E6E4A" w:rsidRPr="00D14976" w14:paraId="27795B9E" w14:textId="77777777" w:rsidTr="00E27A1E">
        <w:tc>
          <w:tcPr>
            <w:tcW w:w="10080" w:type="dxa"/>
          </w:tcPr>
          <w:p w14:paraId="439ADF67" w14:textId="09756A52" w:rsidR="00441927" w:rsidRPr="00D14976" w:rsidRDefault="005E6E4A" w:rsidP="00F3672E">
            <w:pPr>
              <w:tabs>
                <w:tab w:val="left" w:pos="142"/>
                <w:tab w:val="left" w:pos="9923"/>
              </w:tabs>
              <w:spacing w:after="120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976">
              <w:rPr>
                <w:rFonts w:ascii="Times New Roman" w:eastAsia="Times New Roman" w:hAnsi="Times New Roman"/>
                <w:sz w:val="24"/>
                <w:szCs w:val="24"/>
              </w:rPr>
              <w:t xml:space="preserve">Sprendimo projekto rengėjo nuomone, antikorupcinio vertinimo atlikti nereikia. </w:t>
            </w:r>
          </w:p>
        </w:tc>
      </w:tr>
      <w:tr w:rsidR="005E6E4A" w:rsidRPr="00D14976" w14:paraId="5EFEF247" w14:textId="77777777" w:rsidTr="00E27A1E">
        <w:tc>
          <w:tcPr>
            <w:tcW w:w="10080" w:type="dxa"/>
          </w:tcPr>
          <w:p w14:paraId="75BC9722" w14:textId="77777777" w:rsidR="005E6E4A" w:rsidRPr="00D14976" w:rsidRDefault="005E6E4A" w:rsidP="00F3672E">
            <w:pPr>
              <w:tabs>
                <w:tab w:val="left" w:pos="142"/>
                <w:tab w:val="left" w:pos="9923"/>
              </w:tabs>
              <w:spacing w:after="0"/>
              <w:ind w:left="142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1497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5E6E4A" w:rsidRPr="00D14976" w14:paraId="501C54F7" w14:textId="77777777" w:rsidTr="00E27A1E">
        <w:tc>
          <w:tcPr>
            <w:tcW w:w="10080" w:type="dxa"/>
          </w:tcPr>
          <w:p w14:paraId="75A1829A" w14:textId="77777777" w:rsidR="005E6E4A" w:rsidRPr="00D14976" w:rsidRDefault="005E6E4A" w:rsidP="00F3672E">
            <w:pPr>
              <w:tabs>
                <w:tab w:val="left" w:pos="142"/>
                <w:tab w:val="left" w:pos="9923"/>
              </w:tabs>
              <w:spacing w:after="0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976">
              <w:rPr>
                <w:rFonts w:ascii="Times New Roman" w:eastAsia="Times New Roman" w:hAnsi="Times New Roman"/>
                <w:sz w:val="24"/>
                <w:szCs w:val="24"/>
              </w:rPr>
              <w:t>Nėra.</w:t>
            </w:r>
          </w:p>
        </w:tc>
      </w:tr>
      <w:tr w:rsidR="005E6E4A" w:rsidRPr="00D14976" w14:paraId="61275A80" w14:textId="77777777" w:rsidTr="00E27A1E">
        <w:tc>
          <w:tcPr>
            <w:tcW w:w="10080" w:type="dxa"/>
          </w:tcPr>
          <w:p w14:paraId="69F46DDB" w14:textId="77777777" w:rsidR="005E6E4A" w:rsidRPr="00D14976" w:rsidRDefault="005E6E4A" w:rsidP="00F3672E">
            <w:pPr>
              <w:tabs>
                <w:tab w:val="left" w:pos="142"/>
                <w:tab w:val="left" w:pos="9923"/>
              </w:tabs>
              <w:spacing w:after="0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97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8. Projekto autorius ar autorių grupė.</w:t>
            </w:r>
          </w:p>
        </w:tc>
      </w:tr>
      <w:tr w:rsidR="005E6E4A" w:rsidRPr="00D14976" w14:paraId="346694B5" w14:textId="77777777" w:rsidTr="00E27A1E">
        <w:tc>
          <w:tcPr>
            <w:tcW w:w="10080" w:type="dxa"/>
          </w:tcPr>
          <w:p w14:paraId="3DC7C893" w14:textId="77777777" w:rsidR="005E6E4A" w:rsidRPr="00D14976" w:rsidRDefault="005E6E4A" w:rsidP="00F3672E">
            <w:pPr>
              <w:tabs>
                <w:tab w:val="left" w:pos="142"/>
                <w:tab w:val="left" w:pos="9923"/>
              </w:tabs>
              <w:spacing w:after="0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976">
              <w:rPr>
                <w:rFonts w:ascii="Times New Roman" w:eastAsia="Times New Roman" w:hAnsi="Times New Roman"/>
                <w:sz w:val="24"/>
                <w:szCs w:val="24"/>
              </w:rPr>
              <w:t>Savivaldybės kontrolierė Jolita Stonkuvienė</w:t>
            </w:r>
            <w:r w:rsidRPr="00D14976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5E6E4A" w:rsidRPr="00D14976" w14:paraId="31005DD4" w14:textId="77777777" w:rsidTr="00E27A1E">
        <w:tc>
          <w:tcPr>
            <w:tcW w:w="10080" w:type="dxa"/>
          </w:tcPr>
          <w:p w14:paraId="5E63AD68" w14:textId="77777777" w:rsidR="005E6E4A" w:rsidRPr="00D14976" w:rsidRDefault="005E6E4A" w:rsidP="00F3672E">
            <w:pPr>
              <w:tabs>
                <w:tab w:val="left" w:pos="142"/>
                <w:tab w:val="left" w:pos="9923"/>
              </w:tabs>
              <w:spacing w:after="0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97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5E6E4A" w:rsidRPr="00D14976" w14:paraId="362303C6" w14:textId="77777777" w:rsidTr="00E27A1E">
        <w:tc>
          <w:tcPr>
            <w:tcW w:w="10080" w:type="dxa"/>
          </w:tcPr>
          <w:p w14:paraId="761C48D5" w14:textId="77777777" w:rsidR="005E6E4A" w:rsidRPr="00D14976" w:rsidRDefault="005E6E4A" w:rsidP="00F3672E">
            <w:pPr>
              <w:tabs>
                <w:tab w:val="left" w:pos="142"/>
                <w:tab w:val="left" w:pos="9923"/>
              </w:tabs>
              <w:spacing w:after="0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976">
              <w:rPr>
                <w:rFonts w:ascii="Times New Roman" w:eastAsia="Times New Roman" w:hAnsi="Times New Roman"/>
                <w:sz w:val="24"/>
                <w:szCs w:val="24"/>
              </w:rPr>
              <w:t xml:space="preserve">Savivaldybės kontrolierius, nuostatai. </w:t>
            </w:r>
          </w:p>
        </w:tc>
      </w:tr>
      <w:tr w:rsidR="005E6E4A" w:rsidRPr="00D14976" w14:paraId="5DF5A6EE" w14:textId="77777777" w:rsidTr="00E27A1E">
        <w:tc>
          <w:tcPr>
            <w:tcW w:w="10080" w:type="dxa"/>
          </w:tcPr>
          <w:p w14:paraId="78548816" w14:textId="77777777" w:rsidR="005E6E4A" w:rsidRPr="00D14976" w:rsidRDefault="005E6E4A" w:rsidP="00F3672E">
            <w:pPr>
              <w:tabs>
                <w:tab w:val="left" w:pos="142"/>
                <w:tab w:val="left" w:pos="9923"/>
              </w:tabs>
              <w:spacing w:after="0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97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10. Kiti, autorių nuomone, reikalingi pagrindimai ir paaiškinimai.</w:t>
            </w:r>
          </w:p>
        </w:tc>
      </w:tr>
      <w:tr w:rsidR="005E6E4A" w:rsidRPr="00D14976" w14:paraId="2E6C7B3A" w14:textId="77777777" w:rsidTr="00E27A1E">
        <w:tc>
          <w:tcPr>
            <w:tcW w:w="10080" w:type="dxa"/>
          </w:tcPr>
          <w:p w14:paraId="3411EAE1" w14:textId="77777777" w:rsidR="005E6E4A" w:rsidRPr="00D14976" w:rsidRDefault="005E6E4A" w:rsidP="00FC357E">
            <w:pPr>
              <w:tabs>
                <w:tab w:val="left" w:pos="142"/>
                <w:tab w:val="left" w:pos="9923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14976">
              <w:rPr>
                <w:rFonts w:ascii="Times New Roman" w:eastAsia="Times New Roman" w:hAnsi="Times New Roman"/>
                <w:sz w:val="24"/>
                <w:szCs w:val="24"/>
              </w:rPr>
              <w:t>Nėra.</w:t>
            </w:r>
          </w:p>
        </w:tc>
      </w:tr>
    </w:tbl>
    <w:p w14:paraId="12C03079" w14:textId="77777777" w:rsidR="005E6E4A" w:rsidRPr="00D14976" w:rsidRDefault="005E6E4A" w:rsidP="005E6E4A">
      <w:pPr>
        <w:tabs>
          <w:tab w:val="left" w:pos="142"/>
          <w:tab w:val="left" w:pos="1260"/>
          <w:tab w:val="left" w:pos="9923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0"/>
        </w:rPr>
      </w:pPr>
    </w:p>
    <w:p w14:paraId="7210419C" w14:textId="77777777" w:rsidR="005E6E4A" w:rsidRPr="00D14976" w:rsidRDefault="005E6E4A" w:rsidP="005E6E4A">
      <w:pPr>
        <w:tabs>
          <w:tab w:val="left" w:pos="142"/>
          <w:tab w:val="left" w:pos="1260"/>
          <w:tab w:val="left" w:pos="9923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0"/>
        </w:rPr>
      </w:pPr>
    </w:p>
    <w:p w14:paraId="74B1EB97" w14:textId="77777777" w:rsidR="005E6E4A" w:rsidRPr="00D14976" w:rsidRDefault="005E6E4A" w:rsidP="005E6E4A">
      <w:pPr>
        <w:tabs>
          <w:tab w:val="left" w:pos="142"/>
          <w:tab w:val="left" w:pos="1260"/>
          <w:tab w:val="left" w:pos="9923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0"/>
        </w:rPr>
      </w:pPr>
    </w:p>
    <w:p w14:paraId="68A7EBAD" w14:textId="77777777" w:rsidR="005E6E4A" w:rsidRPr="00D14976" w:rsidRDefault="005E6E4A" w:rsidP="005E6E4A">
      <w:pPr>
        <w:tabs>
          <w:tab w:val="left" w:pos="0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D14976">
        <w:rPr>
          <w:rFonts w:ascii="Times New Roman" w:eastAsia="Times New Roman" w:hAnsi="Times New Roman"/>
          <w:sz w:val="24"/>
          <w:szCs w:val="20"/>
        </w:rPr>
        <w:t>Savivaldybės kontrolierė</w:t>
      </w:r>
      <w:r w:rsidRPr="00D14976">
        <w:rPr>
          <w:rFonts w:ascii="Times New Roman" w:eastAsia="Times New Roman" w:hAnsi="Times New Roman"/>
          <w:sz w:val="24"/>
          <w:szCs w:val="20"/>
        </w:rPr>
        <w:tab/>
      </w:r>
      <w:r w:rsidRPr="00D14976">
        <w:rPr>
          <w:rFonts w:ascii="Times New Roman" w:eastAsia="Times New Roman" w:hAnsi="Times New Roman"/>
          <w:sz w:val="24"/>
          <w:szCs w:val="20"/>
        </w:rPr>
        <w:tab/>
      </w:r>
      <w:r w:rsidRPr="00D14976">
        <w:rPr>
          <w:rFonts w:ascii="Times New Roman" w:eastAsia="Times New Roman" w:hAnsi="Times New Roman"/>
          <w:sz w:val="24"/>
          <w:szCs w:val="20"/>
        </w:rPr>
        <w:tab/>
      </w:r>
      <w:r w:rsidRPr="00D14976">
        <w:rPr>
          <w:rFonts w:ascii="Times New Roman" w:eastAsia="Times New Roman" w:hAnsi="Times New Roman"/>
          <w:sz w:val="24"/>
          <w:szCs w:val="20"/>
        </w:rPr>
        <w:tab/>
      </w:r>
      <w:r w:rsidRPr="00D14976">
        <w:rPr>
          <w:rFonts w:ascii="Times New Roman" w:eastAsia="Times New Roman" w:hAnsi="Times New Roman"/>
          <w:sz w:val="24"/>
          <w:szCs w:val="20"/>
        </w:rPr>
        <w:tab/>
        <w:t xml:space="preserve"> Jolita Stonkuvienė</w:t>
      </w:r>
    </w:p>
    <w:sectPr w:rsidR="005E6E4A" w:rsidRPr="00D14976" w:rsidSect="005E6E4A">
      <w:pgSz w:w="11906" w:h="16838"/>
      <w:pgMar w:top="1440" w:right="849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4073C4"/>
    <w:multiLevelType w:val="hybridMultilevel"/>
    <w:tmpl w:val="9DD0E07E"/>
    <w:lvl w:ilvl="0" w:tplc="2722C86A">
      <w:start w:val="1"/>
      <w:numFmt w:val="decimal"/>
      <w:lvlText w:val="%1."/>
      <w:lvlJc w:val="left"/>
      <w:pPr>
        <w:ind w:left="1976" w:hanging="1125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2018387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E4A"/>
    <w:rsid w:val="000028ED"/>
    <w:rsid w:val="000E5256"/>
    <w:rsid w:val="0010452B"/>
    <w:rsid w:val="001056ED"/>
    <w:rsid w:val="00125592"/>
    <w:rsid w:val="0013433B"/>
    <w:rsid w:val="00141207"/>
    <w:rsid w:val="001E3AD6"/>
    <w:rsid w:val="00216DA7"/>
    <w:rsid w:val="00281A6F"/>
    <w:rsid w:val="002E5AAE"/>
    <w:rsid w:val="0031641F"/>
    <w:rsid w:val="00360B23"/>
    <w:rsid w:val="00372330"/>
    <w:rsid w:val="003F5D9B"/>
    <w:rsid w:val="003F6D10"/>
    <w:rsid w:val="00441927"/>
    <w:rsid w:val="004533A6"/>
    <w:rsid w:val="00496643"/>
    <w:rsid w:val="004D259E"/>
    <w:rsid w:val="00521297"/>
    <w:rsid w:val="00526387"/>
    <w:rsid w:val="0056058A"/>
    <w:rsid w:val="005630E4"/>
    <w:rsid w:val="00572B21"/>
    <w:rsid w:val="005814AC"/>
    <w:rsid w:val="005B051B"/>
    <w:rsid w:val="005D4E59"/>
    <w:rsid w:val="005E6E4A"/>
    <w:rsid w:val="00686A0C"/>
    <w:rsid w:val="006E0DCC"/>
    <w:rsid w:val="006E6059"/>
    <w:rsid w:val="007A4CD5"/>
    <w:rsid w:val="007C2637"/>
    <w:rsid w:val="0082316D"/>
    <w:rsid w:val="0083301D"/>
    <w:rsid w:val="008561AA"/>
    <w:rsid w:val="00950739"/>
    <w:rsid w:val="009B5B83"/>
    <w:rsid w:val="00A2235A"/>
    <w:rsid w:val="00A268C4"/>
    <w:rsid w:val="00B21C34"/>
    <w:rsid w:val="00B354CC"/>
    <w:rsid w:val="00C27663"/>
    <w:rsid w:val="00C27BC7"/>
    <w:rsid w:val="00C87BA8"/>
    <w:rsid w:val="00CC1D5F"/>
    <w:rsid w:val="00CE7387"/>
    <w:rsid w:val="00CF0ACE"/>
    <w:rsid w:val="00D03A78"/>
    <w:rsid w:val="00D14976"/>
    <w:rsid w:val="00D62269"/>
    <w:rsid w:val="00D67ADF"/>
    <w:rsid w:val="00DB0E46"/>
    <w:rsid w:val="00DF39D0"/>
    <w:rsid w:val="00E27A1E"/>
    <w:rsid w:val="00E8616B"/>
    <w:rsid w:val="00EE4D25"/>
    <w:rsid w:val="00F3672E"/>
    <w:rsid w:val="00F577F3"/>
    <w:rsid w:val="00FA0DBA"/>
    <w:rsid w:val="00FF263D"/>
    <w:rsid w:val="00FF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8FDC3"/>
  <w15:chartTrackingRefBased/>
  <w15:docId w15:val="{25CEEC61-372B-476E-90A9-9EDA8BA10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6E4A"/>
    <w:pPr>
      <w:spacing w:after="200" w:line="276" w:lineRule="auto"/>
    </w:pPr>
    <w:rPr>
      <w:rFonts w:ascii="Calibri" w:eastAsia="Calibri" w:hAnsi="Calibri"/>
      <w:kern w:val="0"/>
      <w:sz w:val="22"/>
      <w:szCs w:val="22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056ED"/>
    <w:pPr>
      <w:spacing w:after="160" w:line="259" w:lineRule="auto"/>
      <w:ind w:left="720"/>
      <w:contextualSpacing/>
    </w:pPr>
    <w:rPr>
      <w:rFonts w:ascii="Times New Roman" w:eastAsiaTheme="minorHAnsi" w:hAnsi="Times New Roman"/>
      <w:kern w:val="2"/>
      <w:sz w:val="24"/>
      <w:szCs w:val="24"/>
      <w14:ligatures w14:val="standardContextual"/>
    </w:rPr>
  </w:style>
  <w:style w:type="character" w:styleId="Hipersaitas">
    <w:name w:val="Hyperlink"/>
    <w:basedOn w:val="Numatytasispastraiposriftas"/>
    <w:uiPriority w:val="99"/>
    <w:unhideWhenUsed/>
    <w:rsid w:val="00CE738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E738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38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9B5B83"/>
    <w:pPr>
      <w:spacing w:after="0" w:line="240" w:lineRule="auto"/>
    </w:pPr>
    <w:rPr>
      <w:rFonts w:ascii="Calibri" w:eastAsia="Calibri" w:hAnsi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ttps://e-seimas.lrs.lt/portal/legalAct/lt/TAD/TAIS.5884/as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29BCF35-00E4-40EA-BB68-10E83EA63B84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3960</Words>
  <Characters>2258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Kontrol_JST</dc:creator>
  <cp:keywords/>
  <dc:description/>
  <cp:lastModifiedBy>Edita Serovienė</cp:lastModifiedBy>
  <cp:revision>2</cp:revision>
  <dcterms:created xsi:type="dcterms:W3CDTF">2024-08-16T07:16:00Z</dcterms:created>
  <dcterms:modified xsi:type="dcterms:W3CDTF">2024-08-16T07:16:00Z</dcterms:modified>
</cp:coreProperties>
</file>