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333D6" w14:textId="55691812" w:rsidR="00491325" w:rsidRDefault="00491325" w:rsidP="00491325">
      <w:pPr>
        <w:widowControl w:val="0"/>
        <w:suppressAutoHyphens/>
        <w:spacing w:line="276" w:lineRule="auto"/>
        <w:ind w:left="11657" w:firstLine="25"/>
        <w:jc w:val="both"/>
        <w:rPr>
          <w:color w:val="000000"/>
        </w:rPr>
      </w:pPr>
      <w:r>
        <w:rPr>
          <w:color w:val="000000"/>
        </w:rPr>
        <w:t>Priedas Nr. 2</w:t>
      </w:r>
    </w:p>
    <w:p w14:paraId="3D989247" w14:textId="77777777" w:rsidR="00491325" w:rsidRDefault="00491325" w:rsidP="00491325">
      <w:pPr>
        <w:widowControl w:val="0"/>
        <w:suppressAutoHyphens/>
        <w:spacing w:line="276" w:lineRule="auto"/>
        <w:ind w:left="10384" w:firstLine="1298"/>
        <w:jc w:val="both"/>
        <w:rPr>
          <w:color w:val="000000"/>
        </w:rPr>
      </w:pPr>
      <w:r>
        <w:rPr>
          <w:color w:val="000000"/>
        </w:rPr>
        <w:t xml:space="preserve">FORMA </w:t>
      </w:r>
      <w:r w:rsidRPr="00CD78B8">
        <w:rPr>
          <w:color w:val="000000"/>
        </w:rPr>
        <w:t>PATVIRTINTA</w:t>
      </w:r>
    </w:p>
    <w:p w14:paraId="33BC22B5" w14:textId="60AC5BDA" w:rsidR="00B27267" w:rsidRPr="00491325" w:rsidRDefault="00B27267" w:rsidP="00DE11A6">
      <w:pPr>
        <w:jc w:val="right"/>
        <w:rPr>
          <w:iCs/>
          <w:sz w:val="24"/>
          <w:szCs w:val="24"/>
        </w:rPr>
      </w:pPr>
    </w:p>
    <w:p w14:paraId="538C4069" w14:textId="00687238" w:rsidR="00B27267" w:rsidRDefault="00B27267" w:rsidP="005C373E">
      <w:pPr>
        <w:ind w:firstLine="720"/>
        <w:jc w:val="center"/>
        <w:rPr>
          <w:b/>
          <w:sz w:val="24"/>
          <w:szCs w:val="24"/>
        </w:rPr>
      </w:pPr>
      <w:r w:rsidRPr="00414472">
        <w:rPr>
          <w:b/>
          <w:sz w:val="24"/>
          <w:szCs w:val="24"/>
        </w:rPr>
        <w:t>VALGIARAŠČIŲ IR VAIKŲ MAITINIMO ATITIKTIES PATIKRINIMO</w:t>
      </w:r>
      <w:r>
        <w:rPr>
          <w:b/>
          <w:sz w:val="24"/>
          <w:szCs w:val="24"/>
        </w:rPr>
        <w:t xml:space="preserve"> </w:t>
      </w:r>
      <w:r w:rsidR="0030700E">
        <w:rPr>
          <w:b/>
          <w:sz w:val="24"/>
          <w:szCs w:val="24"/>
        </w:rPr>
        <w:t>PROTOKOLAS</w:t>
      </w:r>
    </w:p>
    <w:p w14:paraId="468FE0FF" w14:textId="77777777" w:rsidR="00B27267" w:rsidRDefault="00B27267" w:rsidP="00B27267">
      <w:pPr>
        <w:jc w:val="center"/>
        <w:rPr>
          <w:b/>
          <w:sz w:val="24"/>
          <w:szCs w:val="24"/>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1481"/>
        <w:gridCol w:w="1418"/>
        <w:gridCol w:w="1559"/>
      </w:tblGrid>
      <w:tr w:rsidR="00B27267" w:rsidRPr="001A19AC" w14:paraId="7AC5CAC5" w14:textId="77777777" w:rsidTr="00813CF5">
        <w:tc>
          <w:tcPr>
            <w:tcW w:w="710" w:type="dxa"/>
            <w:vAlign w:val="center"/>
          </w:tcPr>
          <w:p w14:paraId="18B78336" w14:textId="77777777" w:rsidR="00B27267" w:rsidRPr="001A19AC" w:rsidRDefault="00B27267" w:rsidP="008F11E8">
            <w:pPr>
              <w:jc w:val="center"/>
              <w:rPr>
                <w:b/>
                <w:color w:val="000000"/>
                <w:sz w:val="24"/>
                <w:szCs w:val="24"/>
              </w:rPr>
            </w:pPr>
            <w:r w:rsidRPr="001A19AC">
              <w:rPr>
                <w:b/>
                <w:color w:val="000000"/>
                <w:sz w:val="24"/>
                <w:szCs w:val="24"/>
              </w:rPr>
              <w:t>Nr.</w:t>
            </w:r>
          </w:p>
        </w:tc>
        <w:tc>
          <w:tcPr>
            <w:tcW w:w="11481" w:type="dxa"/>
            <w:vAlign w:val="center"/>
          </w:tcPr>
          <w:p w14:paraId="533169A9" w14:textId="1957658D" w:rsidR="00B27267" w:rsidRPr="00FB04DB" w:rsidRDefault="00B27267" w:rsidP="008F11E8">
            <w:pPr>
              <w:jc w:val="center"/>
              <w:rPr>
                <w:b/>
                <w:color w:val="000000"/>
                <w:sz w:val="24"/>
                <w:szCs w:val="24"/>
              </w:rPr>
            </w:pPr>
            <w:r w:rsidRPr="00FB04DB">
              <w:rPr>
                <w:b/>
                <w:color w:val="000000"/>
                <w:sz w:val="24"/>
                <w:szCs w:val="24"/>
              </w:rPr>
              <w:t>Reikalavimas</w:t>
            </w:r>
            <w:r w:rsidR="00763040">
              <w:rPr>
                <w:b/>
                <w:color w:val="000000"/>
                <w:sz w:val="24"/>
                <w:szCs w:val="24"/>
              </w:rPr>
              <w:t xml:space="preserve"> ir </w:t>
            </w:r>
            <w:r w:rsidRPr="00FB04DB">
              <w:rPr>
                <w:b/>
                <w:color w:val="000000"/>
                <w:sz w:val="24"/>
                <w:szCs w:val="24"/>
              </w:rPr>
              <w:t xml:space="preserve"> </w:t>
            </w:r>
            <w:r w:rsidR="00FB04DB" w:rsidRPr="00FB04DB">
              <w:rPr>
                <w:b/>
                <w:sz w:val="24"/>
                <w:szCs w:val="24"/>
              </w:rPr>
              <w:t>2011-11-11 Nr. V-964 a</w:t>
            </w:r>
            <w:r w:rsidRPr="00FB04DB">
              <w:rPr>
                <w:b/>
                <w:color w:val="000000"/>
                <w:sz w:val="24"/>
                <w:szCs w:val="24"/>
              </w:rPr>
              <w:t>prašo punkto</w:t>
            </w:r>
            <w:r w:rsidR="00FB04DB">
              <w:rPr>
                <w:b/>
                <w:color w:val="000000"/>
                <w:sz w:val="24"/>
                <w:szCs w:val="24"/>
              </w:rPr>
              <w:t xml:space="preserve"> Nr.</w:t>
            </w:r>
          </w:p>
        </w:tc>
        <w:tc>
          <w:tcPr>
            <w:tcW w:w="1418" w:type="dxa"/>
            <w:vAlign w:val="center"/>
          </w:tcPr>
          <w:p w14:paraId="29AF5755" w14:textId="4484CBAD" w:rsidR="00B27267" w:rsidRPr="00B83DBC" w:rsidRDefault="00B27267" w:rsidP="008F11E8">
            <w:pPr>
              <w:jc w:val="center"/>
              <w:rPr>
                <w:b/>
                <w:color w:val="000000"/>
                <w:sz w:val="18"/>
                <w:szCs w:val="18"/>
              </w:rPr>
            </w:pPr>
            <w:r w:rsidRPr="00B83DBC">
              <w:rPr>
                <w:b/>
                <w:color w:val="000000"/>
                <w:sz w:val="18"/>
                <w:szCs w:val="18"/>
              </w:rPr>
              <w:t>Atitinka (+)</w:t>
            </w:r>
            <w:r w:rsidR="00B83DBC">
              <w:rPr>
                <w:b/>
                <w:color w:val="000000"/>
                <w:sz w:val="18"/>
                <w:szCs w:val="18"/>
              </w:rPr>
              <w:t xml:space="preserve"> </w:t>
            </w:r>
            <w:r w:rsidRPr="00B83DBC">
              <w:rPr>
                <w:b/>
                <w:color w:val="000000"/>
                <w:sz w:val="18"/>
                <w:szCs w:val="18"/>
              </w:rPr>
              <w:t>/</w:t>
            </w:r>
          </w:p>
          <w:p w14:paraId="46B610AD" w14:textId="77777777" w:rsidR="00B27267" w:rsidRPr="00B83DBC" w:rsidRDefault="00B27267" w:rsidP="008F11E8">
            <w:pPr>
              <w:jc w:val="center"/>
              <w:rPr>
                <w:b/>
                <w:color w:val="000000"/>
                <w:sz w:val="18"/>
                <w:szCs w:val="18"/>
              </w:rPr>
            </w:pPr>
            <w:r w:rsidRPr="00B83DBC">
              <w:rPr>
                <w:b/>
                <w:color w:val="000000"/>
                <w:sz w:val="18"/>
                <w:szCs w:val="18"/>
              </w:rPr>
              <w:t>Neatitinka (-)</w:t>
            </w:r>
          </w:p>
        </w:tc>
        <w:tc>
          <w:tcPr>
            <w:tcW w:w="1559" w:type="dxa"/>
            <w:vAlign w:val="center"/>
          </w:tcPr>
          <w:p w14:paraId="16920490" w14:textId="48DF8566" w:rsidR="00B27267" w:rsidRPr="00B83DBC" w:rsidRDefault="00B27267" w:rsidP="00B83DBC">
            <w:pPr>
              <w:jc w:val="center"/>
              <w:rPr>
                <w:b/>
                <w:color w:val="000000"/>
                <w:sz w:val="18"/>
                <w:szCs w:val="18"/>
              </w:rPr>
            </w:pPr>
            <w:r w:rsidRPr="00B83DBC">
              <w:rPr>
                <w:b/>
                <w:color w:val="000000"/>
                <w:sz w:val="18"/>
                <w:szCs w:val="18"/>
              </w:rPr>
              <w:t>Pastabo</w:t>
            </w:r>
            <w:r w:rsidR="00B83DBC" w:rsidRPr="00B83DBC">
              <w:rPr>
                <w:b/>
                <w:color w:val="000000"/>
                <w:sz w:val="18"/>
                <w:szCs w:val="18"/>
              </w:rPr>
              <w:t>s (n</w:t>
            </w:r>
            <w:r w:rsidRPr="00B83DBC">
              <w:rPr>
                <w:b/>
                <w:color w:val="000000"/>
                <w:sz w:val="18"/>
                <w:szCs w:val="18"/>
              </w:rPr>
              <w:t>etikrinta</w:t>
            </w:r>
            <w:r w:rsidR="00B83DBC" w:rsidRPr="00B83DBC">
              <w:rPr>
                <w:b/>
                <w:color w:val="000000"/>
                <w:sz w:val="18"/>
                <w:szCs w:val="18"/>
              </w:rPr>
              <w:t xml:space="preserve"> ar kt</w:t>
            </w:r>
            <w:r w:rsidR="00763040">
              <w:rPr>
                <w:b/>
                <w:color w:val="000000"/>
                <w:sz w:val="18"/>
                <w:szCs w:val="18"/>
              </w:rPr>
              <w:t>.</w:t>
            </w:r>
            <w:r w:rsidR="00B83DBC" w:rsidRPr="00B83DBC">
              <w:rPr>
                <w:b/>
                <w:color w:val="000000"/>
                <w:sz w:val="18"/>
                <w:szCs w:val="18"/>
              </w:rPr>
              <w:t>)</w:t>
            </w:r>
          </w:p>
        </w:tc>
      </w:tr>
      <w:tr w:rsidR="00DE51C1" w:rsidRPr="001A19AC" w14:paraId="0EB21633" w14:textId="77777777" w:rsidTr="00813CF5">
        <w:trPr>
          <w:trHeight w:val="630"/>
        </w:trPr>
        <w:tc>
          <w:tcPr>
            <w:tcW w:w="710" w:type="dxa"/>
            <w:vMerge w:val="restart"/>
          </w:tcPr>
          <w:p w14:paraId="46110513" w14:textId="77777777" w:rsidR="00DE51C1" w:rsidRPr="001A19AC" w:rsidRDefault="00DE51C1" w:rsidP="00B27267">
            <w:pPr>
              <w:numPr>
                <w:ilvl w:val="0"/>
                <w:numId w:val="2"/>
              </w:numPr>
              <w:spacing w:line="276" w:lineRule="auto"/>
              <w:jc w:val="center"/>
              <w:rPr>
                <w:color w:val="000000"/>
                <w:sz w:val="24"/>
                <w:szCs w:val="24"/>
              </w:rPr>
            </w:pPr>
          </w:p>
        </w:tc>
        <w:tc>
          <w:tcPr>
            <w:tcW w:w="11481" w:type="dxa"/>
          </w:tcPr>
          <w:p w14:paraId="15FC9521" w14:textId="084A670C" w:rsidR="00DE51C1" w:rsidRPr="003875C7" w:rsidRDefault="00DE51C1" w:rsidP="00D213E6">
            <w:pPr>
              <w:pStyle w:val="Sraopastraipa"/>
              <w:numPr>
                <w:ilvl w:val="1"/>
                <w:numId w:val="2"/>
              </w:numPr>
              <w:jc w:val="both"/>
            </w:pPr>
            <w:r w:rsidRPr="00286343">
              <w:rPr>
                <w:bCs/>
              </w:rPr>
              <w:t>Vaikų maitinimui netiekiamos draudžiamos tiekti</w:t>
            </w:r>
            <w:r w:rsidRPr="003875C7">
              <w:t xml:space="preserve"> šios maisto produktų grupės (vertinamas tik vaikams patiekiamas maistas):</w:t>
            </w:r>
          </w:p>
          <w:p w14:paraId="76ED39AF" w14:textId="70E28D0B" w:rsidR="00DE51C1" w:rsidRPr="00B5789D" w:rsidRDefault="00DE51C1" w:rsidP="00D213E6">
            <w:pPr>
              <w:widowControl w:val="0"/>
              <w:suppressAutoHyphens/>
              <w:jc w:val="both"/>
            </w:pPr>
            <w:r w:rsidRPr="003875C7">
              <w:t>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sidRPr="003875C7">
              <w:rPr>
                <w:lang w:eastAsia="lt-LT"/>
              </w:rPr>
              <w:t xml:space="preserve"> padažai su spirgučiais; šaltai, karštai, mažai rūkyti mėsos gaminiai ir mėsos gaminiai, kurių gamyboje buvo naudojamos rūkymo kvapiosios medžiagos</w:t>
            </w:r>
            <w:r w:rsidRPr="003875C7">
              <w:rPr>
                <w:b/>
                <w:lang w:eastAsia="lt-LT"/>
              </w:rPr>
              <w:t xml:space="preserve"> </w:t>
            </w:r>
            <w:r w:rsidRPr="003875C7">
              <w:t>(jie leidžiami bendrojo ugdymo įstaigose organizuojamų vasaros stovyklų metu ar sudarant maisto davinius)</w:t>
            </w:r>
            <w:r w:rsidRPr="003875C7">
              <w:rPr>
                <w:lang w:eastAsia="lt-LT"/>
              </w:rPr>
              <w:t>;</w:t>
            </w:r>
            <w:r w:rsidRPr="003875C7">
              <w:t xml:space="preserve">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sidRPr="003875C7">
              <w:rPr>
                <w:color w:val="000000"/>
              </w:rPr>
              <w:t>džiūvėsėliuose volioti ar džiūvėsėliais pabarstyti kepti mėsos, paukštienos ir žuvies gaminiai;</w:t>
            </w:r>
            <w:r w:rsidRPr="003875C7">
              <w:t xml:space="preserve"> maisto papildai; maisto produktai, pagaminti iš genetiškai modifikuotų organizmų (toliau – GMO), arba maisto produktai, į kurių sudėtį įeina GMO; maisto produktai, į kurių sudėtį įeina iš dalies hidrinti augaliniai riebalai; maisto produktai ir patiekalai, neatitinkantys Tvarkos aprašo 3‒5 prieduose nustatytų reikalavimų </w:t>
            </w:r>
            <w:r w:rsidRPr="00F531E5">
              <w:rPr>
                <w:b/>
                <w:bCs/>
              </w:rPr>
              <w:t>(19 p.)</w:t>
            </w:r>
            <w:r>
              <w:rPr>
                <w:b/>
                <w:bCs/>
              </w:rPr>
              <w:t>.</w:t>
            </w:r>
          </w:p>
        </w:tc>
        <w:tc>
          <w:tcPr>
            <w:tcW w:w="1418" w:type="dxa"/>
          </w:tcPr>
          <w:p w14:paraId="05CAED5B" w14:textId="77777777" w:rsidR="00DE51C1" w:rsidRPr="001A19AC" w:rsidRDefault="00DE51C1" w:rsidP="008F11E8">
            <w:pPr>
              <w:rPr>
                <w:color w:val="000000"/>
                <w:sz w:val="24"/>
                <w:szCs w:val="24"/>
              </w:rPr>
            </w:pPr>
          </w:p>
        </w:tc>
        <w:tc>
          <w:tcPr>
            <w:tcW w:w="1559" w:type="dxa"/>
          </w:tcPr>
          <w:p w14:paraId="55007C6C" w14:textId="77777777" w:rsidR="00DE51C1" w:rsidRPr="001A19AC" w:rsidRDefault="00DE51C1" w:rsidP="008F11E8">
            <w:pPr>
              <w:rPr>
                <w:color w:val="000000"/>
                <w:sz w:val="24"/>
                <w:szCs w:val="24"/>
              </w:rPr>
            </w:pPr>
          </w:p>
        </w:tc>
      </w:tr>
      <w:tr w:rsidR="00DE51C1" w:rsidRPr="001A19AC" w14:paraId="41BAB277" w14:textId="77777777" w:rsidTr="00813CF5">
        <w:trPr>
          <w:trHeight w:val="630"/>
        </w:trPr>
        <w:tc>
          <w:tcPr>
            <w:tcW w:w="710" w:type="dxa"/>
            <w:vMerge/>
          </w:tcPr>
          <w:p w14:paraId="5C1D1C39" w14:textId="77777777" w:rsidR="00DE51C1" w:rsidRPr="001A19AC" w:rsidRDefault="00DE51C1" w:rsidP="00B27267">
            <w:pPr>
              <w:numPr>
                <w:ilvl w:val="0"/>
                <w:numId w:val="2"/>
              </w:numPr>
              <w:spacing w:line="276" w:lineRule="auto"/>
              <w:jc w:val="center"/>
              <w:rPr>
                <w:color w:val="000000"/>
                <w:sz w:val="24"/>
                <w:szCs w:val="24"/>
              </w:rPr>
            </w:pPr>
          </w:p>
        </w:tc>
        <w:tc>
          <w:tcPr>
            <w:tcW w:w="11481" w:type="dxa"/>
          </w:tcPr>
          <w:p w14:paraId="63D0A9B8" w14:textId="4705B80E" w:rsidR="00DE51C1" w:rsidRPr="00E37AF2" w:rsidRDefault="00DE51C1" w:rsidP="00E37AF2">
            <w:pPr>
              <w:pStyle w:val="Sraopastraipa"/>
              <w:ind w:left="27"/>
              <w:jc w:val="both"/>
              <w:rPr>
                <w:bCs/>
              </w:rPr>
            </w:pPr>
            <w:r>
              <w:t>1.2.Vaikų maitinimas organizuojamas valgyklose ir kitose vaikams higieniškai maitinti tinkamose patalpose ar vietose laikantis maisto saugos ir maisto tvarkymo reikalavimų, nustatytų Reglamente (EB) Nr. 852/2004, Lietuvos Respublikos sveikatos apsaugos ministro 2005 m. rugsėjo 1 d. įsakyme Nr. V-675 „Dėl Lietuvos higienos normos HN 15:2021 „Maisto higiena“ patvirtinimo“  (toliau ‒ HN 15:2021) ir  Lietuvos Respublikos sveikatos apsaugos  ministro 2011 m.  gegužės 2 d. įsakyme Nr. V-417 „Dėl Lietuvos higienos normos HN 16:2011 „Medžiagų ir gaminių, skirtų   liestis   su   maistu,   specialieji   sveikatos   saugos   reikalavimai“   patvirtinimo“   (toliau  ‒  HN 16:2011), ir sudarant sąlygas kiekvienam vaikui pavalgyti prie švaraus stalo.</w:t>
            </w:r>
          </w:p>
        </w:tc>
        <w:tc>
          <w:tcPr>
            <w:tcW w:w="1418" w:type="dxa"/>
          </w:tcPr>
          <w:p w14:paraId="570BF114" w14:textId="77777777" w:rsidR="00DE51C1" w:rsidRPr="001A19AC" w:rsidRDefault="00DE51C1" w:rsidP="008F11E8">
            <w:pPr>
              <w:rPr>
                <w:color w:val="000000"/>
                <w:sz w:val="24"/>
                <w:szCs w:val="24"/>
              </w:rPr>
            </w:pPr>
          </w:p>
        </w:tc>
        <w:tc>
          <w:tcPr>
            <w:tcW w:w="1559" w:type="dxa"/>
          </w:tcPr>
          <w:p w14:paraId="002C6210" w14:textId="77777777" w:rsidR="00DE51C1" w:rsidRPr="001A19AC" w:rsidRDefault="00DE51C1" w:rsidP="008F11E8">
            <w:pPr>
              <w:rPr>
                <w:color w:val="000000"/>
                <w:sz w:val="24"/>
                <w:szCs w:val="24"/>
              </w:rPr>
            </w:pPr>
          </w:p>
        </w:tc>
      </w:tr>
      <w:tr w:rsidR="00DE51C1" w:rsidRPr="001A19AC" w14:paraId="51FEEF8A" w14:textId="77777777" w:rsidTr="00813CF5">
        <w:trPr>
          <w:trHeight w:val="255"/>
        </w:trPr>
        <w:tc>
          <w:tcPr>
            <w:tcW w:w="710" w:type="dxa"/>
            <w:vMerge/>
          </w:tcPr>
          <w:p w14:paraId="196CC96C"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7D77E6CF" w14:textId="6AB4C538" w:rsidR="00DE51C1" w:rsidRPr="00286343" w:rsidRDefault="00DE51C1" w:rsidP="00D213E6">
            <w:pPr>
              <w:suppressAutoHyphens/>
              <w:jc w:val="both"/>
              <w:textAlignment w:val="center"/>
              <w:rPr>
                <w:b/>
                <w:bCs/>
              </w:rPr>
            </w:pPr>
            <w:r>
              <w:rPr>
                <w:lang w:eastAsia="lt-LT"/>
              </w:rPr>
              <w:t>1.3. K</w:t>
            </w:r>
            <w:r w:rsidRPr="003875C7">
              <w:rPr>
                <w:lang w:eastAsia="lt-LT"/>
              </w:rPr>
              <w:t>iekvieną dieną turi būti patiekta daržovių ir vaisių (rekomenduojama sezoninių, šviežių</w:t>
            </w:r>
            <w:r>
              <w:rPr>
                <w:lang w:eastAsia="lt-LT"/>
              </w:rPr>
              <w:t xml:space="preserve">) </w:t>
            </w:r>
            <w:r w:rsidRPr="00C253CC">
              <w:rPr>
                <w:b/>
                <w:bCs/>
                <w:lang w:eastAsia="lt-LT"/>
              </w:rPr>
              <w:t>(</w:t>
            </w:r>
            <w:r>
              <w:rPr>
                <w:b/>
                <w:bCs/>
                <w:lang w:eastAsia="lt-LT"/>
              </w:rPr>
              <w:t>22.5 p.).</w:t>
            </w:r>
          </w:p>
        </w:tc>
        <w:tc>
          <w:tcPr>
            <w:tcW w:w="1418" w:type="dxa"/>
          </w:tcPr>
          <w:p w14:paraId="7BDE8456" w14:textId="77777777" w:rsidR="00DE51C1" w:rsidRPr="001A19AC" w:rsidRDefault="00DE51C1" w:rsidP="008F11E8">
            <w:pPr>
              <w:rPr>
                <w:color w:val="000000"/>
                <w:sz w:val="24"/>
                <w:szCs w:val="24"/>
              </w:rPr>
            </w:pPr>
          </w:p>
        </w:tc>
        <w:tc>
          <w:tcPr>
            <w:tcW w:w="1559" w:type="dxa"/>
          </w:tcPr>
          <w:p w14:paraId="2287E23C" w14:textId="77777777" w:rsidR="00DE51C1" w:rsidRPr="001A19AC" w:rsidRDefault="00DE51C1" w:rsidP="008F11E8">
            <w:pPr>
              <w:rPr>
                <w:color w:val="000000"/>
                <w:sz w:val="24"/>
                <w:szCs w:val="24"/>
              </w:rPr>
            </w:pPr>
          </w:p>
        </w:tc>
      </w:tr>
      <w:tr w:rsidR="00DE51C1" w:rsidRPr="001A19AC" w14:paraId="49770CD7" w14:textId="77777777" w:rsidTr="00813CF5">
        <w:trPr>
          <w:trHeight w:val="210"/>
        </w:trPr>
        <w:tc>
          <w:tcPr>
            <w:tcW w:w="710" w:type="dxa"/>
            <w:vMerge/>
          </w:tcPr>
          <w:p w14:paraId="3C384F82"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18361B28" w14:textId="524AC524" w:rsidR="00DE51C1" w:rsidRDefault="00DE51C1" w:rsidP="00D213E6">
            <w:pPr>
              <w:jc w:val="both"/>
              <w:rPr>
                <w:lang w:eastAsia="lt-LT"/>
              </w:rPr>
            </w:pPr>
            <w:r>
              <w:rPr>
                <w:lang w:eastAsia="lt-LT"/>
              </w:rPr>
              <w:t>1.4. K</w:t>
            </w:r>
            <w:r w:rsidRPr="003875C7">
              <w:rPr>
                <w:lang w:eastAsia="lt-LT"/>
              </w:rPr>
              <w:t>iekvieną dieną turi būti patiektas patiekalas iš augalinės kilmės maisto produktų. B</w:t>
            </w:r>
            <w:r w:rsidRPr="003875C7">
              <w:rPr>
                <w:color w:val="000000"/>
              </w:rPr>
              <w:t xml:space="preserve">endrojo ugdymo programas vykdančiose įstaigose </w:t>
            </w:r>
            <w:r w:rsidRPr="003875C7">
              <w:rPr>
                <w:lang w:eastAsia="lt-LT"/>
              </w:rPr>
              <w:t xml:space="preserve">patiekalas iš augalinės kilmės maisto produktų patiekiamas pagal Tvarkos aprašo 36 punkto ir 37.1 papunkčio nuostatas </w:t>
            </w:r>
          </w:p>
          <w:p w14:paraId="36FA96DD" w14:textId="77777777" w:rsidR="00DE51C1" w:rsidRDefault="00DE51C1" w:rsidP="00D213E6">
            <w:pPr>
              <w:jc w:val="both"/>
              <w:rPr>
                <w:lang w:eastAsia="lt-LT"/>
              </w:rPr>
            </w:pPr>
          </w:p>
          <w:p w14:paraId="6D0A4694" w14:textId="77777777" w:rsidR="00DE51C1" w:rsidRDefault="00DE51C1" w:rsidP="00D213E6">
            <w:pPr>
              <w:jc w:val="both"/>
              <w:rPr>
                <w:sz w:val="17"/>
                <w:szCs w:val="17"/>
              </w:rPr>
            </w:pPr>
            <w:r w:rsidRPr="003875C7">
              <w:rPr>
                <w:lang w:eastAsia="lt-LT"/>
              </w:rPr>
              <w:t>(</w:t>
            </w:r>
            <w:r w:rsidRPr="00FB1518">
              <w:rPr>
                <w:i/>
                <w:iCs/>
                <w:lang w:eastAsia="lt-LT"/>
              </w:rPr>
              <w:t>Paaiškinimas.</w:t>
            </w:r>
            <w:r>
              <w:rPr>
                <w:lang w:eastAsia="lt-LT"/>
              </w:rPr>
              <w:t xml:space="preserve"> </w:t>
            </w:r>
            <w:r w:rsidRPr="00FB1518">
              <w:rPr>
                <w:rFonts w:eastAsia="Calibri"/>
                <w:sz w:val="17"/>
                <w:szCs w:val="17"/>
              </w:rPr>
              <w:t>36</w:t>
            </w:r>
            <w:r>
              <w:rPr>
                <w:rFonts w:eastAsia="Calibri"/>
                <w:sz w:val="17"/>
                <w:szCs w:val="17"/>
              </w:rPr>
              <w:t xml:space="preserve"> p. </w:t>
            </w:r>
            <w:r w:rsidRPr="00FB1518">
              <w:rPr>
                <w:rFonts w:eastAsia="Calibri"/>
                <w:sz w:val="17"/>
                <w:szCs w:val="17"/>
              </w:rPr>
              <w:t xml:space="preserve"> Pasirinkti pietų metu </w:t>
            </w:r>
            <w:r w:rsidRPr="00FB1518">
              <w:rPr>
                <w:rFonts w:eastAsia="Calibri"/>
                <w:bCs/>
                <w:iCs/>
                <w:sz w:val="17"/>
                <w:szCs w:val="17"/>
              </w:rPr>
              <w:t>turi būti patiekiami karštieji patiekalai: tausojantis patiekalas ir patiekalas, pagamintas tik iš augalinės kilmės maisto produktų (</w:t>
            </w:r>
            <w:r w:rsidRPr="00FB1518">
              <w:rPr>
                <w:sz w:val="17"/>
                <w:szCs w:val="17"/>
                <w:lang w:eastAsia="lt-LT"/>
              </w:rPr>
              <w:t>išskyrus mokyklas, į kurias maistas pristatomas termosuose)</w:t>
            </w:r>
            <w:r w:rsidRPr="00FB1518">
              <w:rPr>
                <w:rFonts w:eastAsia="Calibri"/>
                <w:bCs/>
                <w:iCs/>
                <w:sz w:val="17"/>
                <w:szCs w:val="17"/>
              </w:rPr>
              <w:t xml:space="preserve">. </w:t>
            </w:r>
            <w:r w:rsidRPr="00FB1518">
              <w:rPr>
                <w:sz w:val="17"/>
                <w:szCs w:val="17"/>
                <w:lang w:eastAsia="lt-LT"/>
              </w:rPr>
              <w:t xml:space="preserve">Valgiaraščiuose šie patiekalai ar patiekalas (jei tausojantis patiekalas yra pagamintas tik iš </w:t>
            </w:r>
            <w:r w:rsidRPr="00FB1518">
              <w:rPr>
                <w:rFonts w:eastAsia="Calibri"/>
                <w:bCs/>
                <w:iCs/>
                <w:sz w:val="17"/>
                <w:szCs w:val="17"/>
              </w:rPr>
              <w:t>augalinės kilmės maisto produktų)</w:t>
            </w:r>
            <w:r w:rsidRPr="00FB1518">
              <w:rPr>
                <w:sz w:val="17"/>
                <w:szCs w:val="17"/>
                <w:lang w:eastAsia="lt-LT"/>
              </w:rPr>
              <w:t xml:space="preserve"> pažymimi žodžiu „Tausojantis“ ir (ar) „Augalinis“. Jei p</w:t>
            </w:r>
            <w:r w:rsidRPr="00FB1518">
              <w:rPr>
                <w:rFonts w:eastAsia="Calibri"/>
                <w:sz w:val="17"/>
                <w:szCs w:val="17"/>
              </w:rPr>
              <w:t xml:space="preserve">ietų metu </w:t>
            </w:r>
            <w:r w:rsidRPr="00FB1518">
              <w:rPr>
                <w:sz w:val="17"/>
                <w:szCs w:val="17"/>
                <w:lang w:eastAsia="lt-LT"/>
              </w:rPr>
              <w:t xml:space="preserve">tiekiamas tik vienas karštasis pietų patiekalas, ne mažiau kaip pusė į pietų valgiaraščius (15 dienų) įtrauktų karštųjų pietų patiekalų turi būti tausojantys ir (ar) patiekalai, </w:t>
            </w:r>
            <w:r w:rsidRPr="00FB1518">
              <w:rPr>
                <w:rFonts w:eastAsia="Calibri"/>
                <w:bCs/>
                <w:iCs/>
                <w:sz w:val="17"/>
                <w:szCs w:val="17"/>
              </w:rPr>
              <w:t>pagaminti tik iš augalinės kilmės maisto produktų</w:t>
            </w:r>
            <w:r w:rsidRPr="00FB1518">
              <w:rPr>
                <w:sz w:val="17"/>
                <w:szCs w:val="17"/>
                <w:lang w:eastAsia="lt-LT"/>
              </w:rPr>
              <w:t>.</w:t>
            </w:r>
            <w:r w:rsidRPr="00FB1518">
              <w:rPr>
                <w:sz w:val="17"/>
                <w:szCs w:val="17"/>
              </w:rPr>
              <w:t xml:space="preserve"> </w:t>
            </w:r>
          </w:p>
          <w:p w14:paraId="0DEF861C" w14:textId="2826A164" w:rsidR="00DE51C1" w:rsidRPr="003875C7" w:rsidRDefault="00DE51C1" w:rsidP="00D213E6">
            <w:pPr>
              <w:jc w:val="both"/>
              <w:rPr>
                <w:lang w:eastAsia="lt-LT"/>
              </w:rPr>
            </w:pPr>
            <w:r w:rsidRPr="00FB1518">
              <w:rPr>
                <w:rFonts w:eastAsia="Calibri"/>
                <w:sz w:val="17"/>
                <w:szCs w:val="17"/>
              </w:rPr>
              <w:t xml:space="preserve">37.1. p. </w:t>
            </w:r>
            <w:r w:rsidRPr="00FB1518">
              <w:rPr>
                <w:color w:val="000000"/>
                <w:sz w:val="17"/>
                <w:szCs w:val="17"/>
              </w:rPr>
              <w:t xml:space="preserve">Mokykloje, be pietų, taip pat gali būti </w:t>
            </w:r>
            <w:r w:rsidRPr="00FB1518">
              <w:rPr>
                <w:rFonts w:eastAsia="Calibri"/>
                <w:sz w:val="17"/>
                <w:szCs w:val="17"/>
              </w:rPr>
              <w:t>kiti vaikų maitinimai, nurodyti Tvarkos aprašo 17 punkte.</w:t>
            </w:r>
            <w:r w:rsidRPr="00FB1518">
              <w:rPr>
                <w:sz w:val="17"/>
                <w:szCs w:val="17"/>
              </w:rPr>
              <w:t xml:space="preserve"> </w:t>
            </w:r>
            <w:r w:rsidRPr="00FB1518">
              <w:rPr>
                <w:rFonts w:eastAsia="Calibri"/>
                <w:sz w:val="17"/>
                <w:szCs w:val="17"/>
              </w:rPr>
              <w:t>Jei organizuojami kiti vaikų maitinimai, turi būti sudarytas visų tiekiamų maitinimų valgiaraštis. Tvarkos aprašo 36 punkte nurodyti patiekalai gali būti patiekiami kitų maitinimų metu</w:t>
            </w:r>
            <w:r>
              <w:rPr>
                <w:rFonts w:eastAsia="Calibri"/>
              </w:rPr>
              <w:t xml:space="preserve"> </w:t>
            </w:r>
            <w:r w:rsidRPr="00C253CC">
              <w:rPr>
                <w:rFonts w:eastAsia="Calibri"/>
                <w:b/>
                <w:bCs/>
              </w:rPr>
              <w:t>(</w:t>
            </w:r>
            <w:r w:rsidRPr="00C253CC">
              <w:rPr>
                <w:b/>
                <w:bCs/>
                <w:lang w:eastAsia="lt-LT"/>
              </w:rPr>
              <w:t>22.6. p.).</w:t>
            </w:r>
          </w:p>
        </w:tc>
        <w:tc>
          <w:tcPr>
            <w:tcW w:w="1418" w:type="dxa"/>
          </w:tcPr>
          <w:p w14:paraId="38F89B71" w14:textId="77777777" w:rsidR="00DE51C1" w:rsidRPr="001A19AC" w:rsidRDefault="00DE51C1" w:rsidP="008F11E8">
            <w:pPr>
              <w:rPr>
                <w:color w:val="000000"/>
                <w:sz w:val="24"/>
                <w:szCs w:val="24"/>
              </w:rPr>
            </w:pPr>
          </w:p>
        </w:tc>
        <w:tc>
          <w:tcPr>
            <w:tcW w:w="1559" w:type="dxa"/>
          </w:tcPr>
          <w:p w14:paraId="34700B87" w14:textId="77777777" w:rsidR="00DE51C1" w:rsidRPr="001A19AC" w:rsidRDefault="00DE51C1" w:rsidP="008F11E8">
            <w:pPr>
              <w:rPr>
                <w:color w:val="000000"/>
                <w:sz w:val="24"/>
                <w:szCs w:val="24"/>
              </w:rPr>
            </w:pPr>
          </w:p>
        </w:tc>
      </w:tr>
      <w:tr w:rsidR="00DE51C1" w:rsidRPr="001A19AC" w14:paraId="56B35B00" w14:textId="77777777" w:rsidTr="0017746A">
        <w:trPr>
          <w:trHeight w:val="511"/>
        </w:trPr>
        <w:tc>
          <w:tcPr>
            <w:tcW w:w="710" w:type="dxa"/>
            <w:vMerge/>
          </w:tcPr>
          <w:p w14:paraId="773462ED"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1249BC08" w14:textId="7232B024" w:rsidR="00DE51C1" w:rsidRPr="0017746A" w:rsidRDefault="00DE51C1" w:rsidP="00D213E6">
            <w:pPr>
              <w:jc w:val="both"/>
              <w:rPr>
                <w:rFonts w:eastAsia="Calibri"/>
              </w:rPr>
            </w:pPr>
            <w:r>
              <w:rPr>
                <w:color w:val="000000"/>
              </w:rPr>
              <w:t>1.5. T</w:t>
            </w:r>
            <w:r w:rsidRPr="003875C7">
              <w:rPr>
                <w:color w:val="000000"/>
              </w:rPr>
              <w:t>as pats patiekalas neturi būti tiekiamas dažniau nei kartą per savaitę, išskyrus gėrimus, garnyrus ir šaltus užkandžius, ir atsižvelgiant į Tvarkos aprašo 7 priedo reikalavimus (reikalavimas netaikomas pritaikyto maitinimo valgiaraščiams)</w:t>
            </w:r>
            <w:r>
              <w:rPr>
                <w:color w:val="000000"/>
              </w:rPr>
              <w:t xml:space="preserve"> </w:t>
            </w:r>
            <w:r w:rsidRPr="00C253CC">
              <w:rPr>
                <w:b/>
                <w:bCs/>
                <w:color w:val="000000"/>
              </w:rPr>
              <w:t>(22.10 p.)</w:t>
            </w:r>
            <w:r>
              <w:rPr>
                <w:b/>
                <w:bCs/>
                <w:color w:val="000000"/>
              </w:rPr>
              <w:t>.</w:t>
            </w:r>
          </w:p>
        </w:tc>
        <w:tc>
          <w:tcPr>
            <w:tcW w:w="1418" w:type="dxa"/>
          </w:tcPr>
          <w:p w14:paraId="31BF4364" w14:textId="77777777" w:rsidR="00DE51C1" w:rsidRPr="001A19AC" w:rsidRDefault="00DE51C1" w:rsidP="008F11E8">
            <w:pPr>
              <w:rPr>
                <w:color w:val="000000"/>
                <w:sz w:val="24"/>
                <w:szCs w:val="24"/>
              </w:rPr>
            </w:pPr>
          </w:p>
        </w:tc>
        <w:tc>
          <w:tcPr>
            <w:tcW w:w="1559" w:type="dxa"/>
          </w:tcPr>
          <w:p w14:paraId="11892DEB" w14:textId="77777777" w:rsidR="00DE51C1" w:rsidRPr="001A19AC" w:rsidRDefault="00DE51C1" w:rsidP="008F11E8">
            <w:pPr>
              <w:rPr>
                <w:color w:val="000000"/>
                <w:sz w:val="24"/>
                <w:szCs w:val="24"/>
              </w:rPr>
            </w:pPr>
          </w:p>
        </w:tc>
      </w:tr>
      <w:tr w:rsidR="00DE51C1" w:rsidRPr="001A19AC" w14:paraId="063DE82B" w14:textId="77777777" w:rsidTr="00813CF5">
        <w:trPr>
          <w:trHeight w:val="274"/>
        </w:trPr>
        <w:tc>
          <w:tcPr>
            <w:tcW w:w="710" w:type="dxa"/>
            <w:vMerge/>
          </w:tcPr>
          <w:p w14:paraId="39B6E58B"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27A6E57F" w14:textId="121BB5EC" w:rsidR="00DE51C1" w:rsidRPr="004C573C" w:rsidRDefault="00DE51C1" w:rsidP="00D213E6">
            <w:pPr>
              <w:jc w:val="both"/>
              <w:rPr>
                <w:rFonts w:eastAsia="Calibri"/>
              </w:rPr>
            </w:pPr>
            <w:r>
              <w:rPr>
                <w:rFonts w:eastAsia="Calibri"/>
              </w:rPr>
              <w:t>1.6. V</w:t>
            </w:r>
            <w:r w:rsidRPr="003875C7">
              <w:rPr>
                <w:rFonts w:eastAsia="Calibri"/>
              </w:rPr>
              <w:t>algymo metu ant stalų neturi būti padėta druskos, cukraus, pipirų, garstyčių</w:t>
            </w:r>
            <w:r>
              <w:rPr>
                <w:rFonts w:eastAsia="Calibri"/>
              </w:rPr>
              <w:t xml:space="preserve"> </w:t>
            </w:r>
            <w:r w:rsidRPr="004C573C">
              <w:rPr>
                <w:rFonts w:eastAsia="Calibri"/>
                <w:b/>
                <w:bCs/>
              </w:rPr>
              <w:t>(</w:t>
            </w:r>
            <w:r w:rsidRPr="004C573C">
              <w:rPr>
                <w:b/>
                <w:bCs/>
                <w:color w:val="000000"/>
              </w:rPr>
              <w:t>22.11 p.</w:t>
            </w:r>
            <w:r>
              <w:rPr>
                <w:b/>
                <w:bCs/>
                <w:color w:val="000000"/>
              </w:rPr>
              <w:t>).</w:t>
            </w:r>
          </w:p>
        </w:tc>
        <w:tc>
          <w:tcPr>
            <w:tcW w:w="1418" w:type="dxa"/>
          </w:tcPr>
          <w:p w14:paraId="48BEF6E1" w14:textId="77777777" w:rsidR="00DE51C1" w:rsidRPr="001A19AC" w:rsidRDefault="00DE51C1" w:rsidP="008F11E8">
            <w:pPr>
              <w:rPr>
                <w:color w:val="000000"/>
                <w:sz w:val="24"/>
                <w:szCs w:val="24"/>
              </w:rPr>
            </w:pPr>
          </w:p>
        </w:tc>
        <w:tc>
          <w:tcPr>
            <w:tcW w:w="1559" w:type="dxa"/>
          </w:tcPr>
          <w:p w14:paraId="6111E2FD" w14:textId="77777777" w:rsidR="00DE51C1" w:rsidRPr="001A19AC" w:rsidRDefault="00DE51C1" w:rsidP="008F11E8">
            <w:pPr>
              <w:rPr>
                <w:color w:val="000000"/>
                <w:sz w:val="24"/>
                <w:szCs w:val="24"/>
              </w:rPr>
            </w:pPr>
          </w:p>
        </w:tc>
      </w:tr>
      <w:tr w:rsidR="00DE51C1" w:rsidRPr="001A19AC" w14:paraId="03546F5C" w14:textId="77777777" w:rsidTr="00813CF5">
        <w:trPr>
          <w:trHeight w:val="225"/>
        </w:trPr>
        <w:tc>
          <w:tcPr>
            <w:tcW w:w="710" w:type="dxa"/>
            <w:vMerge/>
          </w:tcPr>
          <w:p w14:paraId="10006E73"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5A501C89" w14:textId="57927AD8" w:rsidR="00DE51C1" w:rsidRPr="008C51AF" w:rsidRDefault="00DE51C1" w:rsidP="008C51AF">
            <w:pPr>
              <w:jc w:val="both"/>
              <w:rPr>
                <w:rFonts w:eastAsia="Calibri"/>
                <w:b/>
                <w:bCs/>
              </w:rPr>
            </w:pPr>
            <w:r>
              <w:rPr>
                <w:rFonts w:eastAsia="Calibri"/>
              </w:rPr>
              <w:t>1.7. P</w:t>
            </w:r>
            <w:r w:rsidRPr="003875C7">
              <w:rPr>
                <w:rFonts w:eastAsia="Calibri"/>
              </w:rPr>
              <w:t>ienas ir kiti gėrimai vaikams neteikiami šalti, rekomenduojama temperatūra ne žemesnė kaip 15</w:t>
            </w:r>
            <w:r w:rsidRPr="003875C7">
              <w:rPr>
                <w:rFonts w:eastAsia="Calibri"/>
                <w:vertAlign w:val="superscript"/>
              </w:rPr>
              <w:t>o</w:t>
            </w:r>
            <w:r w:rsidRPr="003875C7">
              <w:rPr>
                <w:rFonts w:eastAsia="Calibri"/>
              </w:rPr>
              <w:t>C</w:t>
            </w:r>
            <w:r>
              <w:rPr>
                <w:rFonts w:eastAsia="Calibri"/>
              </w:rPr>
              <w:t xml:space="preserve"> </w:t>
            </w:r>
            <w:r w:rsidRPr="004C573C">
              <w:rPr>
                <w:rFonts w:eastAsia="Calibri"/>
                <w:b/>
                <w:bCs/>
              </w:rPr>
              <w:t>(22.13 p.)</w:t>
            </w:r>
            <w:r>
              <w:rPr>
                <w:rFonts w:eastAsia="Calibri"/>
                <w:b/>
                <w:bCs/>
              </w:rPr>
              <w:t>.</w:t>
            </w:r>
          </w:p>
        </w:tc>
        <w:tc>
          <w:tcPr>
            <w:tcW w:w="1418" w:type="dxa"/>
          </w:tcPr>
          <w:p w14:paraId="4E6388D0" w14:textId="77777777" w:rsidR="00DE51C1" w:rsidRPr="001A19AC" w:rsidRDefault="00DE51C1" w:rsidP="008F11E8">
            <w:pPr>
              <w:rPr>
                <w:color w:val="000000"/>
                <w:sz w:val="24"/>
                <w:szCs w:val="24"/>
              </w:rPr>
            </w:pPr>
          </w:p>
        </w:tc>
        <w:tc>
          <w:tcPr>
            <w:tcW w:w="1559" w:type="dxa"/>
          </w:tcPr>
          <w:p w14:paraId="5B84739F" w14:textId="77777777" w:rsidR="00DE51C1" w:rsidRPr="001A19AC" w:rsidRDefault="00DE51C1" w:rsidP="008F11E8">
            <w:pPr>
              <w:rPr>
                <w:color w:val="000000"/>
                <w:sz w:val="24"/>
                <w:szCs w:val="24"/>
              </w:rPr>
            </w:pPr>
          </w:p>
        </w:tc>
      </w:tr>
      <w:tr w:rsidR="00DE51C1" w:rsidRPr="001A19AC" w14:paraId="36A92EB9" w14:textId="77777777" w:rsidTr="00813CF5">
        <w:trPr>
          <w:trHeight w:val="315"/>
        </w:trPr>
        <w:tc>
          <w:tcPr>
            <w:tcW w:w="710" w:type="dxa"/>
            <w:vMerge/>
          </w:tcPr>
          <w:p w14:paraId="5940D2AB"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DFBFB6B" w14:textId="20DABCFB" w:rsidR="00DE51C1" w:rsidRPr="0017746A" w:rsidRDefault="00DE51C1" w:rsidP="00D213E6">
            <w:pPr>
              <w:jc w:val="both"/>
              <w:rPr>
                <w:color w:val="000000"/>
              </w:rPr>
            </w:pPr>
            <w:r>
              <w:t xml:space="preserve">1.8. </w:t>
            </w:r>
            <w:r w:rsidRPr="003875C7">
              <w:rPr>
                <w:bCs/>
                <w:iCs/>
              </w:rPr>
              <w:t>Mokyklose</w:t>
            </w:r>
            <w:r>
              <w:rPr>
                <w:bCs/>
                <w:iCs/>
              </w:rPr>
              <w:t xml:space="preserve"> </w:t>
            </w:r>
            <w:r w:rsidRPr="003875C7">
              <w:rPr>
                <w:bCs/>
                <w:iCs/>
              </w:rPr>
              <w:t>turi būti sudarytos higieniškos sąlygos nemokamai atsigerti geriamojo vandens (rekomenduojama kambario temperatūros, pvz., pilstomo iš geriamajam vandeniui skirtų indų, talpų, automatų ir pan.), net jei vaikai nemaitinami.</w:t>
            </w:r>
            <w:r w:rsidRPr="003875C7">
              <w:t xml:space="preserve"> Rekomenduojama sudaryti galimybę vaikams gauti ir karšto virinto geriamojo vandens. Vandeniui atsigerti turi būti naudojami asmeninio naudojimo arba vienkartiniai puodukai, stiklinaitės ar buteliukai</w:t>
            </w:r>
            <w:r>
              <w:t xml:space="preserve"> </w:t>
            </w:r>
            <w:r w:rsidRPr="002358A6">
              <w:rPr>
                <w:b/>
                <w:bCs/>
              </w:rPr>
              <w:t>(23 p.)</w:t>
            </w:r>
            <w:r w:rsidRPr="003875C7">
              <w:t xml:space="preserve">.  </w:t>
            </w:r>
          </w:p>
        </w:tc>
        <w:tc>
          <w:tcPr>
            <w:tcW w:w="1418" w:type="dxa"/>
          </w:tcPr>
          <w:p w14:paraId="56E90AE4" w14:textId="77777777" w:rsidR="00DE51C1" w:rsidRPr="001A19AC" w:rsidRDefault="00DE51C1" w:rsidP="008F11E8">
            <w:pPr>
              <w:rPr>
                <w:color w:val="000000"/>
                <w:sz w:val="24"/>
                <w:szCs w:val="24"/>
              </w:rPr>
            </w:pPr>
          </w:p>
        </w:tc>
        <w:tc>
          <w:tcPr>
            <w:tcW w:w="1559" w:type="dxa"/>
          </w:tcPr>
          <w:p w14:paraId="4553B08F" w14:textId="77777777" w:rsidR="00DE51C1" w:rsidRPr="001A19AC" w:rsidRDefault="00DE51C1" w:rsidP="008F11E8">
            <w:pPr>
              <w:rPr>
                <w:color w:val="000000"/>
                <w:sz w:val="24"/>
                <w:szCs w:val="24"/>
              </w:rPr>
            </w:pPr>
          </w:p>
        </w:tc>
      </w:tr>
      <w:tr w:rsidR="00DE51C1" w:rsidRPr="001A19AC" w14:paraId="46D68807" w14:textId="77777777" w:rsidTr="00813CF5">
        <w:trPr>
          <w:trHeight w:val="300"/>
        </w:trPr>
        <w:tc>
          <w:tcPr>
            <w:tcW w:w="710" w:type="dxa"/>
            <w:vMerge/>
          </w:tcPr>
          <w:p w14:paraId="137241B5"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7F7D3A02" w14:textId="02779E51" w:rsidR="00DE51C1" w:rsidRPr="0017746A" w:rsidRDefault="00DE51C1" w:rsidP="00D213E6">
            <w:pPr>
              <w:widowControl w:val="0"/>
              <w:suppressAutoHyphens/>
              <w:jc w:val="both"/>
              <w:rPr>
                <w:color w:val="000000"/>
              </w:rPr>
            </w:pPr>
            <w:r>
              <w:rPr>
                <w:color w:val="000000"/>
              </w:rPr>
              <w:t>1.9.</w:t>
            </w:r>
            <w:r w:rsidRPr="003875C7">
              <w:rPr>
                <w:color w:val="000000"/>
              </w:rPr>
              <w:t xml:space="preserve"> Draudžiama naudoti susidėvėjusius, ištrupėjusius, įskilusius, apdaužytais kraštais indus bei aliumininius įrankius ir indus. </w:t>
            </w:r>
            <w:r w:rsidRPr="003875C7">
              <w:t>I</w:t>
            </w:r>
            <w:r w:rsidRPr="003875C7">
              <w:rPr>
                <w:color w:val="000000"/>
              </w:rPr>
              <w:t>kimokyklinio ir priešmokyklinio</w:t>
            </w:r>
            <w:r w:rsidRPr="003875C7">
              <w:rPr>
                <w:bCs/>
                <w:color w:val="000000"/>
              </w:rPr>
              <w:t xml:space="preserve"> </w:t>
            </w:r>
            <w:r w:rsidRPr="003875C7">
              <w:rPr>
                <w:color w:val="000000"/>
              </w:rPr>
              <w:t>ugdymo programas įgyvendinančiose įstaigose draudžiama naudoti vienkartinius įrankius</w:t>
            </w:r>
            <w:r>
              <w:rPr>
                <w:color w:val="000000"/>
              </w:rPr>
              <w:t xml:space="preserve"> </w:t>
            </w:r>
            <w:r w:rsidRPr="002358A6">
              <w:rPr>
                <w:b/>
                <w:bCs/>
                <w:color w:val="000000"/>
              </w:rPr>
              <w:t>(24 p.)</w:t>
            </w:r>
            <w:r>
              <w:rPr>
                <w:color w:val="000000"/>
              </w:rPr>
              <w:t>.</w:t>
            </w:r>
          </w:p>
        </w:tc>
        <w:tc>
          <w:tcPr>
            <w:tcW w:w="1418" w:type="dxa"/>
            <w:vMerge w:val="restart"/>
          </w:tcPr>
          <w:p w14:paraId="022754F8" w14:textId="77777777" w:rsidR="00DE51C1" w:rsidRPr="001A19AC" w:rsidRDefault="00DE51C1" w:rsidP="008F11E8">
            <w:pPr>
              <w:rPr>
                <w:color w:val="000000"/>
                <w:sz w:val="24"/>
                <w:szCs w:val="24"/>
              </w:rPr>
            </w:pPr>
          </w:p>
        </w:tc>
        <w:tc>
          <w:tcPr>
            <w:tcW w:w="1559" w:type="dxa"/>
            <w:vMerge w:val="restart"/>
          </w:tcPr>
          <w:p w14:paraId="39F3537C" w14:textId="77777777" w:rsidR="00DE51C1" w:rsidRPr="001A19AC" w:rsidRDefault="00DE51C1" w:rsidP="008F11E8">
            <w:pPr>
              <w:rPr>
                <w:color w:val="000000"/>
                <w:sz w:val="24"/>
                <w:szCs w:val="24"/>
              </w:rPr>
            </w:pPr>
          </w:p>
        </w:tc>
      </w:tr>
      <w:tr w:rsidR="00DE51C1" w:rsidRPr="001A19AC" w14:paraId="70AF4F0B" w14:textId="77777777" w:rsidTr="00813CF5">
        <w:trPr>
          <w:trHeight w:val="15"/>
        </w:trPr>
        <w:tc>
          <w:tcPr>
            <w:tcW w:w="710" w:type="dxa"/>
            <w:vMerge/>
          </w:tcPr>
          <w:p w14:paraId="2F2D4611"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67DB87F4" w14:textId="6D987A77" w:rsidR="00DE51C1" w:rsidRPr="0017746A" w:rsidRDefault="00DE51C1" w:rsidP="00D213E6">
            <w:pPr>
              <w:widowControl w:val="0"/>
              <w:suppressAutoHyphens/>
              <w:jc w:val="both"/>
              <w:rPr>
                <w:color w:val="000000"/>
              </w:rPr>
            </w:pPr>
            <w:r>
              <w:rPr>
                <w:rFonts w:eastAsia="Calibri"/>
              </w:rPr>
              <w:t xml:space="preserve">1.10. </w:t>
            </w:r>
            <w:r>
              <w:rPr>
                <w:color w:val="000000"/>
              </w:rPr>
              <w:t xml:space="preserve">Mokyklos, išskyrus </w:t>
            </w:r>
            <w:r>
              <w:rPr>
                <w:rFonts w:eastAsia="MS Mincho"/>
                <w:iCs/>
                <w:szCs w:val="24"/>
              </w:rPr>
              <w:t xml:space="preserve">lauko darželius, </w:t>
            </w:r>
            <w:r>
              <w:rPr>
                <w:color w:val="000000"/>
              </w:rPr>
              <w:t xml:space="preserve">valgykloje ar kitoje patalpoje, kurioje maitinami vaikai, matomoje vietoje turi būti skelbiama </w:t>
            </w:r>
            <w:r>
              <w:rPr>
                <w:rFonts w:eastAsia="Calibri"/>
              </w:rPr>
              <w:t>e</w:t>
            </w:r>
            <w:r w:rsidRPr="003875C7">
              <w:rPr>
                <w:rFonts w:eastAsia="Calibri"/>
              </w:rPr>
              <w:t>inamosios dienos valgiaraščiai (nurodant visus faktiškai patiekiamus maisto produktus, patiekalus, gėrimus ir užkandžius), išskyrus</w:t>
            </w:r>
            <w:r w:rsidRPr="003875C7">
              <w:rPr>
                <w:lang w:eastAsia="lt-LT"/>
              </w:rPr>
              <w:t xml:space="preserve"> ikimokyklinio ir priešmokyklinio </w:t>
            </w:r>
            <w:r w:rsidRPr="003875C7">
              <w:rPr>
                <w:color w:val="000000"/>
              </w:rPr>
              <w:t>ugdymo programas vykdančiose įstaigose</w:t>
            </w:r>
            <w:r w:rsidRPr="003875C7">
              <w:rPr>
                <w:rFonts w:eastAsia="Calibri"/>
              </w:rPr>
              <w:t>, kuriose valgiaraščiai skelbiami vaikų priėmimo-nusirengimo patalpoj</w:t>
            </w:r>
            <w:r>
              <w:rPr>
                <w:rFonts w:eastAsia="Calibri"/>
              </w:rPr>
              <w:t xml:space="preserve">e </w:t>
            </w:r>
            <w:r w:rsidRPr="0063473D">
              <w:rPr>
                <w:rFonts w:eastAsia="Calibri"/>
                <w:b/>
                <w:bCs/>
              </w:rPr>
              <w:t>(25.1 p.)</w:t>
            </w:r>
            <w:r w:rsidRPr="003875C7">
              <w:rPr>
                <w:rFonts w:eastAsia="Calibri"/>
              </w:rPr>
              <w:t>.</w:t>
            </w:r>
          </w:p>
        </w:tc>
        <w:tc>
          <w:tcPr>
            <w:tcW w:w="1418" w:type="dxa"/>
            <w:vMerge/>
          </w:tcPr>
          <w:p w14:paraId="6BFB8D28" w14:textId="77777777" w:rsidR="00DE51C1" w:rsidRPr="001A19AC" w:rsidRDefault="00DE51C1" w:rsidP="008F11E8">
            <w:pPr>
              <w:rPr>
                <w:color w:val="000000"/>
                <w:sz w:val="24"/>
                <w:szCs w:val="24"/>
              </w:rPr>
            </w:pPr>
          </w:p>
        </w:tc>
        <w:tc>
          <w:tcPr>
            <w:tcW w:w="1559" w:type="dxa"/>
            <w:vMerge/>
          </w:tcPr>
          <w:p w14:paraId="2C63187D" w14:textId="77777777" w:rsidR="00DE51C1" w:rsidRPr="001A19AC" w:rsidRDefault="00DE51C1" w:rsidP="008F11E8">
            <w:pPr>
              <w:rPr>
                <w:color w:val="000000"/>
                <w:sz w:val="24"/>
                <w:szCs w:val="24"/>
              </w:rPr>
            </w:pPr>
          </w:p>
        </w:tc>
      </w:tr>
      <w:tr w:rsidR="00DE51C1" w:rsidRPr="001A19AC" w14:paraId="31B8F9AB" w14:textId="77777777" w:rsidTr="00813CF5">
        <w:trPr>
          <w:trHeight w:val="525"/>
        </w:trPr>
        <w:tc>
          <w:tcPr>
            <w:tcW w:w="710" w:type="dxa"/>
            <w:vMerge/>
          </w:tcPr>
          <w:p w14:paraId="10785ED2"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559DC986" w14:textId="296BB088" w:rsidR="00DE51C1" w:rsidRDefault="00DE51C1" w:rsidP="00D213E6">
            <w:pPr>
              <w:widowControl w:val="0"/>
              <w:suppressAutoHyphens/>
              <w:jc w:val="both"/>
              <w:rPr>
                <w:color w:val="000000"/>
              </w:rPr>
            </w:pPr>
            <w:r>
              <w:rPr>
                <w:color w:val="000000"/>
              </w:rPr>
              <w:t xml:space="preserve">1.11. Mokyklos, išskyrus </w:t>
            </w:r>
            <w:r>
              <w:rPr>
                <w:rFonts w:eastAsia="MS Mincho"/>
                <w:iCs/>
                <w:szCs w:val="24"/>
              </w:rPr>
              <w:t xml:space="preserve">lauko darželius, </w:t>
            </w:r>
            <w:r>
              <w:rPr>
                <w:color w:val="000000"/>
              </w:rPr>
              <w:t>valgykloje ar kitoje patalpoje, kurioje maitinami vaikai, matomoje vietoje turi būti skelbiama:</w:t>
            </w:r>
          </w:p>
          <w:p w14:paraId="78E10274" w14:textId="1A61EDDE" w:rsidR="00DE51C1" w:rsidRPr="0063473D" w:rsidRDefault="00DE51C1" w:rsidP="00D213E6">
            <w:pPr>
              <w:widowControl w:val="0"/>
              <w:suppressAutoHyphens/>
              <w:jc w:val="both"/>
              <w:rPr>
                <w:color w:val="000000"/>
              </w:rPr>
            </w:pPr>
            <w:r w:rsidRPr="003875C7">
              <w:rPr>
                <w:color w:val="000000"/>
              </w:rPr>
              <w:t>maisto pasirinkimo piramidė, maisto produktų ženklinimo simboliu „Rakto skylutė“ plakatai ar kita sveiką mitybą skatinanti informacija</w:t>
            </w:r>
            <w:r>
              <w:rPr>
                <w:color w:val="000000"/>
              </w:rPr>
              <w:t xml:space="preserve"> </w:t>
            </w:r>
            <w:r w:rsidRPr="0063473D">
              <w:rPr>
                <w:b/>
                <w:bCs/>
                <w:color w:val="000000"/>
              </w:rPr>
              <w:t>(25.2 p.)</w:t>
            </w:r>
            <w:r w:rsidRPr="003875C7">
              <w:rPr>
                <w:color w:val="000000"/>
              </w:rPr>
              <w:t>.</w:t>
            </w:r>
          </w:p>
        </w:tc>
        <w:tc>
          <w:tcPr>
            <w:tcW w:w="1418" w:type="dxa"/>
          </w:tcPr>
          <w:p w14:paraId="6B2824BC" w14:textId="77777777" w:rsidR="00DE51C1" w:rsidRPr="001A19AC" w:rsidRDefault="00DE51C1" w:rsidP="008F11E8">
            <w:pPr>
              <w:rPr>
                <w:color w:val="000000"/>
                <w:sz w:val="24"/>
                <w:szCs w:val="24"/>
              </w:rPr>
            </w:pPr>
          </w:p>
        </w:tc>
        <w:tc>
          <w:tcPr>
            <w:tcW w:w="1559" w:type="dxa"/>
          </w:tcPr>
          <w:p w14:paraId="7E161F3A" w14:textId="77777777" w:rsidR="00DE51C1" w:rsidRPr="001A19AC" w:rsidRDefault="00DE51C1" w:rsidP="008F11E8">
            <w:pPr>
              <w:rPr>
                <w:color w:val="000000"/>
                <w:sz w:val="24"/>
                <w:szCs w:val="24"/>
              </w:rPr>
            </w:pPr>
          </w:p>
        </w:tc>
      </w:tr>
      <w:tr w:rsidR="00DE51C1" w:rsidRPr="001A19AC" w14:paraId="63F6111B" w14:textId="77777777" w:rsidTr="00813CF5">
        <w:trPr>
          <w:trHeight w:val="296"/>
        </w:trPr>
        <w:tc>
          <w:tcPr>
            <w:tcW w:w="710" w:type="dxa"/>
            <w:vMerge/>
          </w:tcPr>
          <w:p w14:paraId="204EE9DE"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70FA975" w14:textId="3668BB1C" w:rsidR="00DE51C1" w:rsidRPr="003875C7" w:rsidRDefault="00DE51C1" w:rsidP="00D213E6">
            <w:pPr>
              <w:jc w:val="both"/>
              <w:rPr>
                <w:lang w:eastAsia="lt-LT"/>
              </w:rPr>
            </w:pPr>
            <w:r>
              <w:rPr>
                <w:lang w:eastAsia="lt-LT"/>
              </w:rPr>
              <w:t xml:space="preserve">1.12. </w:t>
            </w:r>
            <w:r>
              <w:rPr>
                <w:color w:val="000000"/>
              </w:rPr>
              <w:t xml:space="preserve">Mokyklos, išskyrus </w:t>
            </w:r>
            <w:r>
              <w:rPr>
                <w:rFonts w:eastAsia="MS Mincho"/>
                <w:iCs/>
                <w:szCs w:val="24"/>
              </w:rPr>
              <w:t xml:space="preserve">lauko darželius, </w:t>
            </w:r>
            <w:r>
              <w:rPr>
                <w:color w:val="000000"/>
              </w:rPr>
              <w:t xml:space="preserve">valgykloje ar kitoje patalpoje, skelbiamas </w:t>
            </w:r>
            <w:r w:rsidRPr="003875C7">
              <w:rPr>
                <w:lang w:eastAsia="lt-LT"/>
              </w:rPr>
              <w:t xml:space="preserve">Valstybinės maisto ir veterinarijos tarnybos nemokamos telefono linijos numeris (skambinti maitinimo organizavimo klausimais), išskyrus ikimokyklinio ir priešmokyklinio </w:t>
            </w:r>
            <w:r w:rsidRPr="003875C7">
              <w:rPr>
                <w:color w:val="000000"/>
              </w:rPr>
              <w:t>ugdymo programas vykdančiose įstaigose</w:t>
            </w:r>
            <w:r w:rsidRPr="003875C7">
              <w:rPr>
                <w:lang w:eastAsia="lt-LT"/>
              </w:rPr>
              <w:t>, kuriose ši informacija skelbiama vaikų priėmimo–nusirengimo patalpoje</w:t>
            </w:r>
            <w:r>
              <w:rPr>
                <w:lang w:eastAsia="lt-LT"/>
              </w:rPr>
              <w:t xml:space="preserve"> </w:t>
            </w:r>
            <w:r w:rsidRPr="000345D9">
              <w:rPr>
                <w:b/>
                <w:bCs/>
                <w:lang w:eastAsia="lt-LT"/>
              </w:rPr>
              <w:t>(25.3 p.)</w:t>
            </w:r>
            <w:r>
              <w:rPr>
                <w:b/>
                <w:bCs/>
                <w:lang w:eastAsia="lt-LT"/>
              </w:rPr>
              <w:t>.</w:t>
            </w:r>
          </w:p>
        </w:tc>
        <w:tc>
          <w:tcPr>
            <w:tcW w:w="1418" w:type="dxa"/>
          </w:tcPr>
          <w:p w14:paraId="3EE4C89E" w14:textId="77777777" w:rsidR="00DE51C1" w:rsidRPr="001A19AC" w:rsidRDefault="00DE51C1" w:rsidP="008F11E8">
            <w:pPr>
              <w:rPr>
                <w:color w:val="000000"/>
                <w:sz w:val="24"/>
                <w:szCs w:val="24"/>
              </w:rPr>
            </w:pPr>
          </w:p>
        </w:tc>
        <w:tc>
          <w:tcPr>
            <w:tcW w:w="1559" w:type="dxa"/>
          </w:tcPr>
          <w:p w14:paraId="69F12A71" w14:textId="77777777" w:rsidR="00DE51C1" w:rsidRPr="001A19AC" w:rsidRDefault="00DE51C1" w:rsidP="008F11E8">
            <w:pPr>
              <w:rPr>
                <w:color w:val="000000"/>
                <w:sz w:val="24"/>
                <w:szCs w:val="24"/>
              </w:rPr>
            </w:pPr>
          </w:p>
        </w:tc>
      </w:tr>
      <w:tr w:rsidR="00DE51C1" w:rsidRPr="001A19AC" w14:paraId="17E1A555" w14:textId="77777777" w:rsidTr="00813CF5">
        <w:trPr>
          <w:trHeight w:val="296"/>
        </w:trPr>
        <w:tc>
          <w:tcPr>
            <w:tcW w:w="710" w:type="dxa"/>
            <w:vMerge/>
          </w:tcPr>
          <w:p w14:paraId="71FB33C3"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3E2792E2" w14:textId="061CE19A" w:rsidR="00DE51C1" w:rsidRPr="000345D9" w:rsidRDefault="00DE51C1" w:rsidP="00D213E6">
            <w:pPr>
              <w:jc w:val="both"/>
              <w:rPr>
                <w:rFonts w:eastAsia="Calibri"/>
              </w:rPr>
            </w:pPr>
            <w:r>
              <w:rPr>
                <w:lang w:eastAsia="lt-LT"/>
              </w:rPr>
              <w:t xml:space="preserve">1.13. </w:t>
            </w:r>
            <w:r>
              <w:rPr>
                <w:color w:val="000000"/>
              </w:rPr>
              <w:t xml:space="preserve">Mokyklos, išskyrus </w:t>
            </w:r>
            <w:r>
              <w:rPr>
                <w:rFonts w:eastAsia="MS Mincho"/>
                <w:iCs/>
                <w:szCs w:val="24"/>
              </w:rPr>
              <w:t xml:space="preserve">lauko darželius, </w:t>
            </w:r>
            <w:r>
              <w:rPr>
                <w:color w:val="000000"/>
              </w:rPr>
              <w:t xml:space="preserve">valgykloje ar kitoje patalpoje, skelbiamas </w:t>
            </w:r>
            <w:r w:rsidRPr="003875C7">
              <w:rPr>
                <w:lang w:eastAsia="lt-LT"/>
              </w:rPr>
              <w:t xml:space="preserve">juridinis ar fizinis asmuo, teikiantis vaikų maitinimo ir (ar) maisto produktų tiekimo paslaugas, </w:t>
            </w:r>
            <w:r w:rsidRPr="003875C7">
              <w:rPr>
                <w:rFonts w:eastAsia="Calibri"/>
              </w:rPr>
              <w:t xml:space="preserve">išskyrus </w:t>
            </w:r>
            <w:r w:rsidRPr="003875C7">
              <w:rPr>
                <w:lang w:eastAsia="lt-LT"/>
              </w:rPr>
              <w:t xml:space="preserve">ikimokyklinio ir priešmokyklinio </w:t>
            </w:r>
            <w:r w:rsidRPr="003875C7">
              <w:rPr>
                <w:color w:val="000000"/>
              </w:rPr>
              <w:t>ugdymo programas vykdančiose įstaigose</w:t>
            </w:r>
            <w:r w:rsidRPr="003875C7">
              <w:rPr>
                <w:rFonts w:eastAsia="Calibri"/>
              </w:rPr>
              <w:t>, kuriose ši informacija skelbiama vaikų priėmimo–nusirengimo patalpoje</w:t>
            </w:r>
            <w:r>
              <w:rPr>
                <w:rFonts w:eastAsia="Calibri"/>
              </w:rPr>
              <w:t xml:space="preserve"> </w:t>
            </w:r>
            <w:r w:rsidRPr="0040515D">
              <w:rPr>
                <w:rFonts w:eastAsia="Calibri"/>
                <w:b/>
                <w:bCs/>
              </w:rPr>
              <w:t>(</w:t>
            </w:r>
            <w:r w:rsidRPr="0040515D">
              <w:rPr>
                <w:b/>
                <w:bCs/>
                <w:lang w:eastAsia="lt-LT"/>
              </w:rPr>
              <w:t>25.4 p.)</w:t>
            </w:r>
            <w:r>
              <w:rPr>
                <w:lang w:eastAsia="lt-LT"/>
              </w:rPr>
              <w:t>.</w:t>
            </w:r>
          </w:p>
        </w:tc>
        <w:tc>
          <w:tcPr>
            <w:tcW w:w="1418" w:type="dxa"/>
          </w:tcPr>
          <w:p w14:paraId="0F3AC278" w14:textId="77777777" w:rsidR="00DE51C1" w:rsidRPr="001A19AC" w:rsidRDefault="00DE51C1" w:rsidP="008F11E8">
            <w:pPr>
              <w:rPr>
                <w:color w:val="000000"/>
                <w:sz w:val="24"/>
                <w:szCs w:val="24"/>
              </w:rPr>
            </w:pPr>
          </w:p>
        </w:tc>
        <w:tc>
          <w:tcPr>
            <w:tcW w:w="1559" w:type="dxa"/>
          </w:tcPr>
          <w:p w14:paraId="5C432B51" w14:textId="77777777" w:rsidR="00DE51C1" w:rsidRPr="001A19AC" w:rsidRDefault="00DE51C1" w:rsidP="008F11E8">
            <w:pPr>
              <w:rPr>
                <w:color w:val="000000"/>
                <w:sz w:val="24"/>
                <w:szCs w:val="24"/>
              </w:rPr>
            </w:pPr>
          </w:p>
        </w:tc>
      </w:tr>
      <w:tr w:rsidR="00DE51C1" w:rsidRPr="001A19AC" w14:paraId="5BF55D93" w14:textId="77777777" w:rsidTr="00813CF5">
        <w:trPr>
          <w:trHeight w:val="330"/>
        </w:trPr>
        <w:tc>
          <w:tcPr>
            <w:tcW w:w="710" w:type="dxa"/>
            <w:vMerge/>
          </w:tcPr>
          <w:p w14:paraId="46907EBA"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1AC85177" w14:textId="4738D4D5" w:rsidR="00DE51C1" w:rsidRPr="0017746A" w:rsidRDefault="00DE51C1" w:rsidP="00D213E6">
            <w:pPr>
              <w:jc w:val="both"/>
              <w:rPr>
                <w:rFonts w:eastAsia="Calibri"/>
              </w:rPr>
            </w:pPr>
            <w:r>
              <w:rPr>
                <w:color w:val="000000"/>
              </w:rPr>
              <w:t xml:space="preserve">1.14. Mokyklos, išskyrus </w:t>
            </w:r>
            <w:r>
              <w:rPr>
                <w:rFonts w:eastAsia="MS Mincho"/>
                <w:iCs/>
                <w:szCs w:val="24"/>
              </w:rPr>
              <w:t xml:space="preserve">lauko darželius, </w:t>
            </w:r>
            <w:r>
              <w:rPr>
                <w:color w:val="000000"/>
              </w:rPr>
              <w:t>valgykloje ar kitoje patalpoje, skelbiamas t</w:t>
            </w:r>
            <w:r w:rsidRPr="003875C7">
              <w:t>varkos aprašo 19 punkto nuostatos</w:t>
            </w:r>
            <w:r w:rsidRPr="003875C7">
              <w:rPr>
                <w:lang w:eastAsia="lt-LT"/>
              </w:rPr>
              <w:t xml:space="preserve"> ikimokyklinio ir priešmokyklinio </w:t>
            </w:r>
            <w:r w:rsidRPr="003875C7">
              <w:rPr>
                <w:color w:val="000000"/>
              </w:rPr>
              <w:t>ugdymo programas vykdančiose įstaigose</w:t>
            </w:r>
            <w:r w:rsidRPr="003875C7">
              <w:rPr>
                <w:rFonts w:eastAsia="Calibri"/>
              </w:rPr>
              <w:t xml:space="preserve"> vaikų priėmimo–nusirengimo patalpoje</w:t>
            </w:r>
            <w:r>
              <w:rPr>
                <w:rFonts w:eastAsia="Calibri"/>
              </w:rPr>
              <w:t xml:space="preserve"> </w:t>
            </w:r>
            <w:r w:rsidRPr="00B52DE2">
              <w:rPr>
                <w:rFonts w:eastAsia="Calibri"/>
                <w:b/>
                <w:bCs/>
              </w:rPr>
              <w:t>(25.5 p.)</w:t>
            </w:r>
            <w:r>
              <w:t>.</w:t>
            </w:r>
          </w:p>
        </w:tc>
        <w:tc>
          <w:tcPr>
            <w:tcW w:w="1418" w:type="dxa"/>
          </w:tcPr>
          <w:p w14:paraId="11EA09DD" w14:textId="77777777" w:rsidR="00DE51C1" w:rsidRPr="001A19AC" w:rsidRDefault="00DE51C1" w:rsidP="008F11E8">
            <w:pPr>
              <w:rPr>
                <w:color w:val="000000"/>
                <w:sz w:val="24"/>
                <w:szCs w:val="24"/>
              </w:rPr>
            </w:pPr>
          </w:p>
        </w:tc>
        <w:tc>
          <w:tcPr>
            <w:tcW w:w="1559" w:type="dxa"/>
          </w:tcPr>
          <w:p w14:paraId="5A892FA3" w14:textId="77777777" w:rsidR="00DE51C1" w:rsidRPr="001A19AC" w:rsidRDefault="00DE51C1" w:rsidP="008F11E8">
            <w:pPr>
              <w:rPr>
                <w:color w:val="000000"/>
                <w:sz w:val="24"/>
                <w:szCs w:val="24"/>
              </w:rPr>
            </w:pPr>
          </w:p>
        </w:tc>
      </w:tr>
      <w:tr w:rsidR="00DE51C1" w:rsidRPr="001A19AC" w14:paraId="0A097AE0" w14:textId="77777777" w:rsidTr="008D7825">
        <w:trPr>
          <w:trHeight w:val="499"/>
        </w:trPr>
        <w:tc>
          <w:tcPr>
            <w:tcW w:w="710" w:type="dxa"/>
            <w:vMerge/>
          </w:tcPr>
          <w:p w14:paraId="6F13B6AD"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CDFA767" w14:textId="2DB8E3FF" w:rsidR="00DE51C1" w:rsidRPr="008D7825" w:rsidRDefault="00DE51C1" w:rsidP="00D213E6">
            <w:pPr>
              <w:jc w:val="both"/>
              <w:rPr>
                <w:color w:val="000000"/>
              </w:rPr>
            </w:pPr>
            <w:r>
              <w:t xml:space="preserve">1.15. </w:t>
            </w:r>
            <w:r>
              <w:rPr>
                <w:color w:val="000000"/>
              </w:rPr>
              <w:t xml:space="preserve">Mokyklos, išskyrus </w:t>
            </w:r>
            <w:r>
              <w:rPr>
                <w:rFonts w:eastAsia="MS Mincho"/>
                <w:iCs/>
                <w:szCs w:val="24"/>
              </w:rPr>
              <w:t xml:space="preserve">lauko darželius, </w:t>
            </w:r>
            <w:r>
              <w:rPr>
                <w:color w:val="000000"/>
              </w:rPr>
              <w:t xml:space="preserve">valgykloje ar kitoje patalpoje, skelbiamas </w:t>
            </w:r>
            <w:r w:rsidRPr="003875C7">
              <w:t xml:space="preserve">šaltų užkandžių, jei jie tiekiami, sąrašas ir svoris </w:t>
            </w:r>
            <w:r w:rsidRPr="003875C7">
              <w:rPr>
                <w:bCs/>
                <w:color w:val="000000"/>
              </w:rPr>
              <w:t>bendrojo ugdymo</w:t>
            </w:r>
            <w:r w:rsidRPr="003875C7">
              <w:rPr>
                <w:color w:val="000000"/>
              </w:rPr>
              <w:t xml:space="preserve"> programas</w:t>
            </w:r>
            <w:r w:rsidRPr="003875C7">
              <w:t xml:space="preserve"> vykdančiose įstaigose</w:t>
            </w:r>
            <w:r>
              <w:t xml:space="preserve"> (</w:t>
            </w:r>
            <w:r w:rsidRPr="00572D51">
              <w:rPr>
                <w:b/>
                <w:bCs/>
              </w:rPr>
              <w:t>25.6 p</w:t>
            </w:r>
            <w:r>
              <w:t>.).</w:t>
            </w:r>
          </w:p>
        </w:tc>
        <w:tc>
          <w:tcPr>
            <w:tcW w:w="1418" w:type="dxa"/>
          </w:tcPr>
          <w:p w14:paraId="3B260079" w14:textId="77777777" w:rsidR="00DE51C1" w:rsidRPr="001A19AC" w:rsidRDefault="00DE51C1" w:rsidP="008F11E8">
            <w:pPr>
              <w:rPr>
                <w:color w:val="000000"/>
                <w:sz w:val="24"/>
                <w:szCs w:val="24"/>
              </w:rPr>
            </w:pPr>
          </w:p>
        </w:tc>
        <w:tc>
          <w:tcPr>
            <w:tcW w:w="1559" w:type="dxa"/>
          </w:tcPr>
          <w:p w14:paraId="3BECE492" w14:textId="77777777" w:rsidR="00DE51C1" w:rsidRPr="001A19AC" w:rsidRDefault="00DE51C1" w:rsidP="008F11E8">
            <w:pPr>
              <w:rPr>
                <w:color w:val="000000"/>
                <w:sz w:val="24"/>
                <w:szCs w:val="24"/>
              </w:rPr>
            </w:pPr>
          </w:p>
        </w:tc>
      </w:tr>
      <w:tr w:rsidR="00DE51C1" w:rsidRPr="001A19AC" w14:paraId="131962FB" w14:textId="77777777" w:rsidTr="0017746A">
        <w:trPr>
          <w:trHeight w:val="996"/>
        </w:trPr>
        <w:tc>
          <w:tcPr>
            <w:tcW w:w="710" w:type="dxa"/>
            <w:vMerge/>
          </w:tcPr>
          <w:p w14:paraId="28BBA1F1"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5ED827DB" w14:textId="5309ADC9" w:rsidR="00DE51C1" w:rsidRPr="00572D51" w:rsidRDefault="00DE51C1" w:rsidP="00D213E6">
            <w:pPr>
              <w:widowControl w:val="0"/>
              <w:suppressAutoHyphens/>
              <w:jc w:val="both"/>
              <w:rPr>
                <w:color w:val="000000"/>
              </w:rPr>
            </w:pPr>
            <w:r>
              <w:t xml:space="preserve">1.16. </w:t>
            </w:r>
            <w:r w:rsidRPr="003875C7">
              <w:t>Mokyklos ir poilsio stovyklos interneto svetainėje, jeigu ją turi, turi būti skelbiama vieša prieiga: Tvarkos aprašas,</w:t>
            </w:r>
            <w:r w:rsidRPr="003875C7">
              <w:rPr>
                <w:rFonts w:eastAsia="Calibri"/>
              </w:rPr>
              <w:t xml:space="preserve"> juridinis ar fizinis asmuo, teikiantis vaikų maitinimo ir (ar) maisto produktų tiekimo paslaugas,</w:t>
            </w:r>
            <w:r w:rsidRPr="003875C7">
              <w:t xml:space="preserve"> ir valgiaraščiai (nurodoma informacija, nustatyta Tvarkos aprašo 48 punkte), karantino, ekstremalios situacijos, ekstremalaus įvykio ar įvykio laikotarpiu turi būti skelbiama informacija apie vaikų maitinimo organizavimo sąlygas, jei jos keičiamos</w:t>
            </w:r>
            <w:r>
              <w:t xml:space="preserve"> (</w:t>
            </w:r>
            <w:r w:rsidRPr="00572D51">
              <w:rPr>
                <w:b/>
                <w:bCs/>
              </w:rPr>
              <w:t>26 p</w:t>
            </w:r>
            <w:r>
              <w:t>.).</w:t>
            </w:r>
          </w:p>
        </w:tc>
        <w:tc>
          <w:tcPr>
            <w:tcW w:w="1418" w:type="dxa"/>
          </w:tcPr>
          <w:p w14:paraId="257DDBDF" w14:textId="77777777" w:rsidR="00DE51C1" w:rsidRPr="001A19AC" w:rsidRDefault="00DE51C1" w:rsidP="008F11E8">
            <w:pPr>
              <w:rPr>
                <w:color w:val="000000"/>
                <w:sz w:val="24"/>
                <w:szCs w:val="24"/>
              </w:rPr>
            </w:pPr>
          </w:p>
        </w:tc>
        <w:tc>
          <w:tcPr>
            <w:tcW w:w="1559" w:type="dxa"/>
          </w:tcPr>
          <w:p w14:paraId="6868AF49" w14:textId="77777777" w:rsidR="00DE51C1" w:rsidRPr="001A19AC" w:rsidRDefault="00DE51C1" w:rsidP="008F11E8">
            <w:pPr>
              <w:rPr>
                <w:color w:val="000000"/>
                <w:sz w:val="24"/>
                <w:szCs w:val="24"/>
              </w:rPr>
            </w:pPr>
          </w:p>
        </w:tc>
      </w:tr>
      <w:tr w:rsidR="00DE51C1" w:rsidRPr="001A19AC" w14:paraId="050831D1" w14:textId="77777777" w:rsidTr="00EA0E5B">
        <w:trPr>
          <w:trHeight w:val="511"/>
        </w:trPr>
        <w:tc>
          <w:tcPr>
            <w:tcW w:w="710" w:type="dxa"/>
            <w:vMerge/>
          </w:tcPr>
          <w:p w14:paraId="4FF6FA65"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0CB6D9B" w14:textId="7F375E86" w:rsidR="00DE51C1" w:rsidRPr="00EA0E5B" w:rsidRDefault="00DE51C1" w:rsidP="00D213E6">
            <w:pPr>
              <w:widowControl w:val="0"/>
              <w:suppressAutoHyphens/>
              <w:jc w:val="both"/>
              <w:rPr>
                <w:color w:val="000000"/>
              </w:rPr>
            </w:pPr>
            <w:r>
              <w:rPr>
                <w:color w:val="000000"/>
              </w:rPr>
              <w:t xml:space="preserve">1.17. </w:t>
            </w:r>
            <w:r w:rsidRPr="003875C7">
              <w:rPr>
                <w:color w:val="000000"/>
              </w:rPr>
              <w:t xml:space="preserve"> Jei mokykloje maitinami suaugę asmenys, jiems mokykloje turi būti patiekiami Tvarkos aprašo reikalavimus atitinkantys maisto produktai ar patiekalai</w:t>
            </w:r>
            <w:r>
              <w:rPr>
                <w:color w:val="000000"/>
              </w:rPr>
              <w:t xml:space="preserve"> </w:t>
            </w:r>
            <w:r w:rsidRPr="00572D51">
              <w:rPr>
                <w:b/>
                <w:bCs/>
                <w:color w:val="000000"/>
              </w:rPr>
              <w:t>(28 p.).</w:t>
            </w:r>
          </w:p>
        </w:tc>
        <w:tc>
          <w:tcPr>
            <w:tcW w:w="1418" w:type="dxa"/>
          </w:tcPr>
          <w:p w14:paraId="5738A37B" w14:textId="77777777" w:rsidR="00DE51C1" w:rsidRPr="001A19AC" w:rsidRDefault="00DE51C1" w:rsidP="008F11E8">
            <w:pPr>
              <w:rPr>
                <w:color w:val="000000"/>
                <w:sz w:val="24"/>
                <w:szCs w:val="24"/>
              </w:rPr>
            </w:pPr>
          </w:p>
        </w:tc>
        <w:tc>
          <w:tcPr>
            <w:tcW w:w="1559" w:type="dxa"/>
          </w:tcPr>
          <w:p w14:paraId="32E48D29" w14:textId="77777777" w:rsidR="00DE51C1" w:rsidRPr="001A19AC" w:rsidRDefault="00DE51C1" w:rsidP="008F11E8">
            <w:pPr>
              <w:rPr>
                <w:color w:val="000000"/>
                <w:sz w:val="24"/>
                <w:szCs w:val="24"/>
              </w:rPr>
            </w:pPr>
          </w:p>
        </w:tc>
      </w:tr>
      <w:tr w:rsidR="00DE51C1" w:rsidRPr="001A19AC" w14:paraId="202DED7B" w14:textId="77777777" w:rsidTr="0017746A">
        <w:trPr>
          <w:trHeight w:val="567"/>
        </w:trPr>
        <w:tc>
          <w:tcPr>
            <w:tcW w:w="710" w:type="dxa"/>
            <w:vMerge/>
          </w:tcPr>
          <w:p w14:paraId="266BE330"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16487242" w14:textId="45E6EC61" w:rsidR="00DE51C1" w:rsidRPr="00E7156D" w:rsidRDefault="00DE51C1" w:rsidP="00D213E6">
            <w:pPr>
              <w:widowControl w:val="0"/>
              <w:suppressAutoHyphens/>
              <w:jc w:val="both"/>
              <w:rPr>
                <w:b/>
                <w:bCs/>
                <w:color w:val="000000"/>
              </w:rPr>
            </w:pPr>
            <w:r>
              <w:rPr>
                <w:color w:val="000000"/>
              </w:rPr>
              <w:t xml:space="preserve">1.18. </w:t>
            </w:r>
            <w:r w:rsidRPr="003875C7">
              <w:rPr>
                <w:color w:val="000000"/>
              </w:rPr>
              <w:t>Mokyklose ir poilsio stovyklose negali būti reklamuojami maisto produktai, išvardyti atitinkamai Tvarkos aprašo 19 ar 20 punktuose</w:t>
            </w:r>
            <w:r>
              <w:rPr>
                <w:color w:val="000000"/>
              </w:rPr>
              <w:t xml:space="preserve"> </w:t>
            </w:r>
            <w:r>
              <w:rPr>
                <w:b/>
                <w:bCs/>
                <w:color w:val="000000"/>
              </w:rPr>
              <w:t>(29 p.).</w:t>
            </w:r>
          </w:p>
        </w:tc>
        <w:tc>
          <w:tcPr>
            <w:tcW w:w="1418" w:type="dxa"/>
          </w:tcPr>
          <w:p w14:paraId="7453FD07" w14:textId="77777777" w:rsidR="00DE51C1" w:rsidRPr="001A19AC" w:rsidRDefault="00DE51C1" w:rsidP="008F11E8">
            <w:pPr>
              <w:rPr>
                <w:color w:val="000000"/>
                <w:sz w:val="24"/>
                <w:szCs w:val="24"/>
              </w:rPr>
            </w:pPr>
          </w:p>
        </w:tc>
        <w:tc>
          <w:tcPr>
            <w:tcW w:w="1559" w:type="dxa"/>
          </w:tcPr>
          <w:p w14:paraId="551EF871" w14:textId="77777777" w:rsidR="00DE51C1" w:rsidRPr="001A19AC" w:rsidRDefault="00DE51C1" w:rsidP="008F11E8">
            <w:pPr>
              <w:rPr>
                <w:color w:val="000000"/>
                <w:sz w:val="24"/>
                <w:szCs w:val="24"/>
              </w:rPr>
            </w:pPr>
          </w:p>
        </w:tc>
      </w:tr>
      <w:tr w:rsidR="00DE51C1" w:rsidRPr="001A19AC" w14:paraId="63195875" w14:textId="77777777" w:rsidTr="00813CF5">
        <w:trPr>
          <w:trHeight w:val="285"/>
        </w:trPr>
        <w:tc>
          <w:tcPr>
            <w:tcW w:w="710" w:type="dxa"/>
            <w:vMerge/>
          </w:tcPr>
          <w:p w14:paraId="1CFC46C7"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1533F186" w14:textId="11A6AA39" w:rsidR="00DE51C1" w:rsidRPr="003875C7" w:rsidRDefault="00DE51C1" w:rsidP="00D213E6">
            <w:pPr>
              <w:widowControl w:val="0"/>
              <w:suppressAutoHyphens/>
              <w:jc w:val="both"/>
              <w:rPr>
                <w:rFonts w:eastAsia="Calibri"/>
                <w:lang w:eastAsia="lt-LT"/>
              </w:rPr>
            </w:pPr>
            <w:r>
              <w:rPr>
                <w:rFonts w:eastAsia="Calibri"/>
                <w:lang w:eastAsia="lt-LT"/>
              </w:rPr>
              <w:t xml:space="preserve">1.19. </w:t>
            </w:r>
            <w:r w:rsidRPr="003875C7">
              <w:rPr>
                <w:rFonts w:eastAsia="Calibri"/>
                <w:lang w:eastAsia="lt-LT"/>
              </w:rPr>
              <w:t xml:space="preserve"> </w:t>
            </w:r>
            <w:r>
              <w:rPr>
                <w:rFonts w:eastAsia="Calibri"/>
                <w:lang w:eastAsia="lt-LT"/>
              </w:rPr>
              <w:t>A</w:t>
            </w:r>
            <w:r w:rsidRPr="003875C7">
              <w:rPr>
                <w:rFonts w:eastAsia="Calibri"/>
                <w:lang w:eastAsia="lt-LT"/>
              </w:rPr>
              <w:t xml:space="preserve">r </w:t>
            </w:r>
            <w:r w:rsidRPr="003875C7">
              <w:rPr>
                <w:rFonts w:eastAsia="Calibri"/>
              </w:rPr>
              <w:t xml:space="preserve">pagal gydytojo raštiškus nurodymus </w:t>
            </w:r>
            <w:r w:rsidRPr="003875C7">
              <w:rPr>
                <w:color w:val="000000"/>
              </w:rPr>
              <w:t>(</w:t>
            </w:r>
            <w:r w:rsidRPr="003875C7">
              <w:rPr>
                <w:rFonts w:eastAsia="Calibri"/>
              </w:rPr>
              <w:t>Forma Nr. E027-1</w:t>
            </w:r>
            <w:r w:rsidRPr="003875C7">
              <w:rPr>
                <w:color w:val="000000"/>
              </w:rPr>
              <w:t xml:space="preserve">) </w:t>
            </w:r>
            <w:r w:rsidRPr="003875C7">
              <w:rPr>
                <w:rFonts w:eastAsia="Calibri"/>
              </w:rPr>
              <w:t xml:space="preserve">organizuojamas pritaikytas maitinimas </w:t>
            </w:r>
            <w:r w:rsidRPr="003875C7">
              <w:rPr>
                <w:lang w:eastAsia="lt-LT"/>
              </w:rPr>
              <w:t xml:space="preserve">( </w:t>
            </w:r>
            <w:r w:rsidRPr="00FF1EDB">
              <w:rPr>
                <w:b/>
                <w:bCs/>
                <w:lang w:eastAsia="lt-LT"/>
              </w:rPr>
              <w:t>32.4 p., 38 ir 50 p.)</w:t>
            </w:r>
            <w:r>
              <w:rPr>
                <w:rFonts w:eastAsia="Calibri"/>
                <w:b/>
                <w:bCs/>
              </w:rPr>
              <w:t>.</w:t>
            </w:r>
          </w:p>
          <w:p w14:paraId="04C5621F" w14:textId="77777777" w:rsidR="00DE51C1" w:rsidRPr="003875C7" w:rsidRDefault="00DE51C1" w:rsidP="00D213E6">
            <w:pPr>
              <w:suppressAutoHyphens/>
              <w:jc w:val="both"/>
              <w:textAlignment w:val="center"/>
            </w:pPr>
          </w:p>
        </w:tc>
        <w:tc>
          <w:tcPr>
            <w:tcW w:w="1418" w:type="dxa"/>
          </w:tcPr>
          <w:p w14:paraId="2351FAD5" w14:textId="77777777" w:rsidR="00DE51C1" w:rsidRPr="001A19AC" w:rsidRDefault="00DE51C1" w:rsidP="008F11E8">
            <w:pPr>
              <w:rPr>
                <w:color w:val="000000"/>
                <w:sz w:val="24"/>
                <w:szCs w:val="24"/>
              </w:rPr>
            </w:pPr>
          </w:p>
        </w:tc>
        <w:tc>
          <w:tcPr>
            <w:tcW w:w="1559" w:type="dxa"/>
          </w:tcPr>
          <w:p w14:paraId="1B10805E" w14:textId="77777777" w:rsidR="00DE51C1" w:rsidRPr="001A19AC" w:rsidRDefault="00DE51C1" w:rsidP="008F11E8">
            <w:pPr>
              <w:rPr>
                <w:color w:val="000000"/>
                <w:sz w:val="24"/>
                <w:szCs w:val="24"/>
              </w:rPr>
            </w:pPr>
          </w:p>
        </w:tc>
      </w:tr>
      <w:tr w:rsidR="00DE51C1" w:rsidRPr="001A19AC" w14:paraId="5749D774" w14:textId="77777777" w:rsidTr="00813CF5">
        <w:trPr>
          <w:trHeight w:val="240"/>
        </w:trPr>
        <w:tc>
          <w:tcPr>
            <w:tcW w:w="710" w:type="dxa"/>
            <w:vMerge/>
          </w:tcPr>
          <w:p w14:paraId="5E637730"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316B3DF" w14:textId="6842C0AF" w:rsidR="00DE51C1" w:rsidRPr="003875C7" w:rsidRDefault="00DE51C1" w:rsidP="00D213E6">
            <w:pPr>
              <w:jc w:val="both"/>
              <w:rPr>
                <w:lang w:eastAsia="lt-LT"/>
              </w:rPr>
            </w:pPr>
            <w:r>
              <w:rPr>
                <w:rFonts w:eastAsia="Calibri"/>
                <w:lang w:eastAsia="lt-LT"/>
              </w:rPr>
              <w:t>1.20. B</w:t>
            </w:r>
            <w:r w:rsidRPr="003875C7">
              <w:rPr>
                <w:color w:val="000000"/>
              </w:rPr>
              <w:t xml:space="preserve">endrojo </w:t>
            </w:r>
            <w:r w:rsidRPr="003875C7">
              <w:rPr>
                <w:bCs/>
                <w:color w:val="000000"/>
              </w:rPr>
              <w:t xml:space="preserve">ugdymo </w:t>
            </w:r>
            <w:r w:rsidRPr="003875C7">
              <w:rPr>
                <w:color w:val="000000"/>
              </w:rPr>
              <w:t xml:space="preserve">programas vykdančioje įstaigoje kasdien organizuojami pietūs, kurių metu tiekiamas šiltas maistas ir </w:t>
            </w:r>
            <w:r w:rsidRPr="003875C7">
              <w:rPr>
                <w:lang w:eastAsia="lt-LT"/>
              </w:rPr>
              <w:t xml:space="preserve">ar </w:t>
            </w:r>
            <w:r w:rsidRPr="003875C7">
              <w:rPr>
                <w:color w:val="000000"/>
              </w:rPr>
              <w:t xml:space="preserve">pietūs organizuojami ne ankščiau nei 2,5 ir ne vėliau kaip praėjus 4 val. nuo pamokų pradžios </w:t>
            </w:r>
            <w:r w:rsidRPr="003E0BE8">
              <w:rPr>
                <w:b/>
                <w:bCs/>
                <w:lang w:eastAsia="lt-LT"/>
              </w:rPr>
              <w:t>(33 p.)</w:t>
            </w:r>
            <w:r>
              <w:rPr>
                <w:lang w:eastAsia="lt-LT"/>
              </w:rPr>
              <w:t>.</w:t>
            </w:r>
          </w:p>
        </w:tc>
        <w:tc>
          <w:tcPr>
            <w:tcW w:w="1418" w:type="dxa"/>
          </w:tcPr>
          <w:p w14:paraId="58FF5D62" w14:textId="77777777" w:rsidR="00DE51C1" w:rsidRPr="001A19AC" w:rsidRDefault="00DE51C1" w:rsidP="008F11E8">
            <w:pPr>
              <w:rPr>
                <w:color w:val="000000"/>
                <w:sz w:val="24"/>
                <w:szCs w:val="24"/>
              </w:rPr>
            </w:pPr>
          </w:p>
        </w:tc>
        <w:tc>
          <w:tcPr>
            <w:tcW w:w="1559" w:type="dxa"/>
          </w:tcPr>
          <w:p w14:paraId="57AE5D9B" w14:textId="77777777" w:rsidR="00DE51C1" w:rsidRPr="001A19AC" w:rsidRDefault="00DE51C1" w:rsidP="008F11E8">
            <w:pPr>
              <w:rPr>
                <w:color w:val="000000"/>
                <w:sz w:val="24"/>
                <w:szCs w:val="24"/>
              </w:rPr>
            </w:pPr>
          </w:p>
        </w:tc>
      </w:tr>
      <w:tr w:rsidR="00DE51C1" w:rsidRPr="001A19AC" w14:paraId="584D755E" w14:textId="77777777" w:rsidTr="00EA0E5B">
        <w:trPr>
          <w:trHeight w:val="327"/>
        </w:trPr>
        <w:tc>
          <w:tcPr>
            <w:tcW w:w="710" w:type="dxa"/>
            <w:vMerge/>
          </w:tcPr>
          <w:p w14:paraId="46DB564E"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530E6DEE" w14:textId="2A0152E8" w:rsidR="00DE51C1" w:rsidRPr="00EA0E5B" w:rsidRDefault="00DE51C1" w:rsidP="00D213E6">
            <w:pPr>
              <w:jc w:val="both"/>
              <w:rPr>
                <w:rFonts w:eastAsia="Calibri"/>
              </w:rPr>
            </w:pPr>
            <w:r>
              <w:rPr>
                <w:rFonts w:eastAsia="Calibri"/>
              </w:rPr>
              <w:t xml:space="preserve">1.21. </w:t>
            </w:r>
            <w:r>
              <w:rPr>
                <w:color w:val="000000"/>
              </w:rPr>
              <w:t>Ar v</w:t>
            </w:r>
            <w:r w:rsidRPr="003875C7">
              <w:rPr>
                <w:rFonts w:eastAsia="Calibri"/>
              </w:rPr>
              <w:t xml:space="preserve">isi pietų metu patiekiami patiekalai yra nurodyti valgiaraštyje </w:t>
            </w:r>
            <w:r w:rsidRPr="003875C7">
              <w:rPr>
                <w:lang w:eastAsia="lt-LT"/>
              </w:rPr>
              <w:t>(</w:t>
            </w:r>
            <w:r w:rsidRPr="003E0BE8">
              <w:rPr>
                <w:b/>
                <w:bCs/>
                <w:lang w:eastAsia="lt-LT"/>
              </w:rPr>
              <w:t>34 p</w:t>
            </w:r>
            <w:r>
              <w:rPr>
                <w:lang w:eastAsia="lt-LT"/>
              </w:rPr>
              <w:t>.</w:t>
            </w:r>
            <w:r w:rsidRPr="003875C7">
              <w:rPr>
                <w:lang w:eastAsia="lt-LT"/>
              </w:rPr>
              <w:t>)</w:t>
            </w:r>
            <w:r>
              <w:rPr>
                <w:rFonts w:eastAsia="Calibri"/>
              </w:rPr>
              <w:t>.</w:t>
            </w:r>
          </w:p>
        </w:tc>
        <w:tc>
          <w:tcPr>
            <w:tcW w:w="1418" w:type="dxa"/>
          </w:tcPr>
          <w:p w14:paraId="6B9C34AD" w14:textId="77777777" w:rsidR="00DE51C1" w:rsidRPr="001A19AC" w:rsidRDefault="00DE51C1" w:rsidP="008F11E8">
            <w:pPr>
              <w:rPr>
                <w:color w:val="000000"/>
                <w:sz w:val="24"/>
                <w:szCs w:val="24"/>
              </w:rPr>
            </w:pPr>
          </w:p>
        </w:tc>
        <w:tc>
          <w:tcPr>
            <w:tcW w:w="1559" w:type="dxa"/>
          </w:tcPr>
          <w:p w14:paraId="629DBC4B" w14:textId="77777777" w:rsidR="00DE51C1" w:rsidRPr="001A19AC" w:rsidRDefault="00DE51C1" w:rsidP="008F11E8">
            <w:pPr>
              <w:rPr>
                <w:color w:val="000000"/>
                <w:sz w:val="24"/>
                <w:szCs w:val="24"/>
              </w:rPr>
            </w:pPr>
          </w:p>
        </w:tc>
      </w:tr>
      <w:tr w:rsidR="00DE51C1" w:rsidRPr="001A19AC" w14:paraId="7E18BB14" w14:textId="77777777" w:rsidTr="00813CF5">
        <w:trPr>
          <w:trHeight w:val="300"/>
        </w:trPr>
        <w:tc>
          <w:tcPr>
            <w:tcW w:w="710" w:type="dxa"/>
            <w:vMerge/>
          </w:tcPr>
          <w:p w14:paraId="2E9C751C"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5CF7CC81" w14:textId="2A4C39A6" w:rsidR="00DE51C1" w:rsidRPr="00BB2602" w:rsidRDefault="00DE51C1" w:rsidP="00D213E6">
            <w:pPr>
              <w:jc w:val="both"/>
              <w:rPr>
                <w:rFonts w:eastAsia="Calibri"/>
                <w:b/>
                <w:bCs/>
              </w:rPr>
            </w:pPr>
            <w:r>
              <w:rPr>
                <w:rFonts w:eastAsia="Calibri"/>
              </w:rPr>
              <w:t>1.22. A</w:t>
            </w:r>
            <w:r w:rsidRPr="003875C7">
              <w:rPr>
                <w:rFonts w:eastAsia="Calibri"/>
              </w:rPr>
              <w:t xml:space="preserve">r </w:t>
            </w:r>
            <w:r w:rsidRPr="003875C7">
              <w:rPr>
                <w:bCs/>
                <w:color w:val="000000"/>
              </w:rPr>
              <w:t>bendrojo</w:t>
            </w:r>
            <w:r w:rsidRPr="003875C7">
              <w:rPr>
                <w:color w:val="000000"/>
              </w:rPr>
              <w:t xml:space="preserve"> </w:t>
            </w:r>
            <w:r w:rsidRPr="003875C7">
              <w:rPr>
                <w:bCs/>
                <w:color w:val="000000"/>
              </w:rPr>
              <w:t xml:space="preserve">ugdymo </w:t>
            </w:r>
            <w:r w:rsidRPr="003875C7">
              <w:rPr>
                <w:color w:val="000000"/>
              </w:rPr>
              <w:t>programas vykdančioje įstaigoje</w:t>
            </w:r>
            <w:r w:rsidRPr="003875C7">
              <w:rPr>
                <w:rFonts w:eastAsia="Calibri"/>
              </w:rPr>
              <w:t xml:space="preserve"> pietų metu tiekiami tausojantis ir augalinės kilmės maisto produktų patiekalai </w:t>
            </w:r>
            <w:r w:rsidRPr="003875C7">
              <w:rPr>
                <w:lang w:eastAsia="lt-LT"/>
              </w:rPr>
              <w:t>(</w:t>
            </w:r>
            <w:r w:rsidRPr="003E0BE8">
              <w:rPr>
                <w:b/>
                <w:bCs/>
                <w:lang w:eastAsia="lt-LT"/>
              </w:rPr>
              <w:t>36</w:t>
            </w:r>
            <w:r>
              <w:rPr>
                <w:b/>
                <w:bCs/>
                <w:lang w:eastAsia="lt-LT"/>
              </w:rPr>
              <w:t> p.</w:t>
            </w:r>
            <w:r w:rsidRPr="003E0BE8">
              <w:rPr>
                <w:b/>
                <w:bCs/>
                <w:lang w:eastAsia="lt-LT"/>
              </w:rPr>
              <w:t>)</w:t>
            </w:r>
            <w:r>
              <w:rPr>
                <w:rFonts w:eastAsia="Calibri"/>
                <w:b/>
                <w:bCs/>
              </w:rPr>
              <w:t>.</w:t>
            </w:r>
          </w:p>
        </w:tc>
        <w:tc>
          <w:tcPr>
            <w:tcW w:w="1418" w:type="dxa"/>
          </w:tcPr>
          <w:p w14:paraId="296D53B2" w14:textId="77777777" w:rsidR="00DE51C1" w:rsidRPr="001A19AC" w:rsidRDefault="00DE51C1" w:rsidP="008F11E8">
            <w:pPr>
              <w:rPr>
                <w:color w:val="000000"/>
                <w:sz w:val="24"/>
                <w:szCs w:val="24"/>
              </w:rPr>
            </w:pPr>
          </w:p>
        </w:tc>
        <w:tc>
          <w:tcPr>
            <w:tcW w:w="1559" w:type="dxa"/>
          </w:tcPr>
          <w:p w14:paraId="62309D8B" w14:textId="77777777" w:rsidR="00DE51C1" w:rsidRPr="001A19AC" w:rsidRDefault="00DE51C1" w:rsidP="008F11E8">
            <w:pPr>
              <w:rPr>
                <w:color w:val="000000"/>
                <w:sz w:val="24"/>
                <w:szCs w:val="24"/>
              </w:rPr>
            </w:pPr>
          </w:p>
        </w:tc>
      </w:tr>
      <w:tr w:rsidR="00DE51C1" w:rsidRPr="001A19AC" w14:paraId="62EE575D" w14:textId="77777777" w:rsidTr="00BB2602">
        <w:trPr>
          <w:trHeight w:val="378"/>
        </w:trPr>
        <w:tc>
          <w:tcPr>
            <w:tcW w:w="710" w:type="dxa"/>
            <w:vMerge/>
          </w:tcPr>
          <w:p w14:paraId="15CDE973"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64ADAA6B" w14:textId="12EC4027" w:rsidR="00DE51C1" w:rsidRPr="00BB2602" w:rsidRDefault="00DE51C1" w:rsidP="00D213E6">
            <w:pPr>
              <w:jc w:val="both"/>
              <w:rPr>
                <w:rFonts w:eastAsia="Calibri"/>
              </w:rPr>
            </w:pPr>
            <w:r>
              <w:rPr>
                <w:rFonts w:eastAsia="Calibri"/>
              </w:rPr>
              <w:t>1.23. A</w:t>
            </w:r>
            <w:r w:rsidRPr="003875C7">
              <w:rPr>
                <w:rFonts w:eastAsia="Calibri"/>
              </w:rPr>
              <w:t xml:space="preserve">r </w:t>
            </w:r>
            <w:r w:rsidRPr="003875C7">
              <w:rPr>
                <w:rFonts w:eastAsia="Calibri"/>
                <w:lang w:eastAsia="lt-LT"/>
              </w:rPr>
              <w:t>b</w:t>
            </w:r>
            <w:r w:rsidRPr="003875C7">
              <w:rPr>
                <w:color w:val="000000"/>
              </w:rPr>
              <w:t>endrojo ugdymo mokykloje</w:t>
            </w:r>
            <w:r w:rsidRPr="003875C7">
              <w:rPr>
                <w:rFonts w:eastAsia="Calibri"/>
              </w:rPr>
              <w:t xml:space="preserve"> visi kiti nei pietūs maitinimai organizuojami pagal valgiaraščius </w:t>
            </w:r>
            <w:r w:rsidRPr="003875C7">
              <w:rPr>
                <w:lang w:eastAsia="lt-LT"/>
              </w:rPr>
              <w:t>(</w:t>
            </w:r>
            <w:r w:rsidRPr="001C7211">
              <w:rPr>
                <w:b/>
                <w:bCs/>
                <w:lang w:eastAsia="lt-LT"/>
              </w:rPr>
              <w:t>37.1 p.</w:t>
            </w:r>
            <w:r w:rsidRPr="003875C7">
              <w:rPr>
                <w:lang w:eastAsia="lt-LT"/>
              </w:rPr>
              <w:t>)</w:t>
            </w:r>
            <w:r>
              <w:rPr>
                <w:lang w:eastAsia="lt-LT"/>
              </w:rPr>
              <w:t>.</w:t>
            </w:r>
          </w:p>
        </w:tc>
        <w:tc>
          <w:tcPr>
            <w:tcW w:w="1418" w:type="dxa"/>
          </w:tcPr>
          <w:p w14:paraId="756FA65B" w14:textId="77777777" w:rsidR="00DE51C1" w:rsidRPr="001A19AC" w:rsidRDefault="00DE51C1" w:rsidP="008F11E8">
            <w:pPr>
              <w:rPr>
                <w:color w:val="000000"/>
                <w:sz w:val="24"/>
                <w:szCs w:val="24"/>
              </w:rPr>
            </w:pPr>
          </w:p>
        </w:tc>
        <w:tc>
          <w:tcPr>
            <w:tcW w:w="1559" w:type="dxa"/>
          </w:tcPr>
          <w:p w14:paraId="574DE8F1" w14:textId="77777777" w:rsidR="00DE51C1" w:rsidRPr="001A19AC" w:rsidRDefault="00DE51C1" w:rsidP="008F11E8">
            <w:pPr>
              <w:rPr>
                <w:color w:val="000000"/>
                <w:sz w:val="24"/>
                <w:szCs w:val="24"/>
              </w:rPr>
            </w:pPr>
          </w:p>
        </w:tc>
      </w:tr>
      <w:tr w:rsidR="00DE51C1" w:rsidRPr="001A19AC" w14:paraId="173E1B38" w14:textId="77777777" w:rsidTr="00DE51C1">
        <w:trPr>
          <w:trHeight w:val="2388"/>
        </w:trPr>
        <w:tc>
          <w:tcPr>
            <w:tcW w:w="710" w:type="dxa"/>
            <w:vMerge/>
          </w:tcPr>
          <w:p w14:paraId="6C9A879D"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7F518366" w14:textId="3A08762E" w:rsidR="00DE51C1" w:rsidRPr="003875C7" w:rsidRDefault="00DE51C1" w:rsidP="00D213E6">
            <w:pPr>
              <w:suppressAutoHyphens/>
              <w:jc w:val="both"/>
              <w:textAlignment w:val="center"/>
              <w:rPr>
                <w:color w:val="000000"/>
              </w:rPr>
            </w:pPr>
            <w:r>
              <w:rPr>
                <w:rFonts w:eastAsia="Calibri"/>
              </w:rPr>
              <w:t>1.24. A</w:t>
            </w:r>
            <w:r w:rsidRPr="003875C7">
              <w:rPr>
                <w:rFonts w:eastAsia="Calibri"/>
              </w:rPr>
              <w:t xml:space="preserve">r </w:t>
            </w:r>
            <w:r w:rsidRPr="003875C7">
              <w:rPr>
                <w:color w:val="000000"/>
              </w:rPr>
              <w:t xml:space="preserve">valgiaraščiai sudaryti pagal reikalavimus </w:t>
            </w:r>
            <w:r>
              <w:rPr>
                <w:lang w:eastAsia="lt-LT"/>
              </w:rPr>
              <w:t>(</w:t>
            </w:r>
            <w:r w:rsidRPr="001C7211">
              <w:rPr>
                <w:b/>
                <w:lang w:eastAsia="lt-LT"/>
              </w:rPr>
              <w:t>46 ir 47 p.</w:t>
            </w:r>
            <w:r w:rsidRPr="003875C7">
              <w:rPr>
                <w:lang w:eastAsia="lt-LT"/>
              </w:rPr>
              <w:t>)</w:t>
            </w:r>
            <w:r w:rsidRPr="003875C7">
              <w:rPr>
                <w:color w:val="000000"/>
              </w:rPr>
              <w:t>.</w:t>
            </w:r>
          </w:p>
          <w:p w14:paraId="752AD983" w14:textId="77777777" w:rsidR="00DE51C1" w:rsidRPr="003875C7" w:rsidRDefault="00DE51C1" w:rsidP="00D213E6">
            <w:pPr>
              <w:suppressAutoHyphens/>
              <w:jc w:val="both"/>
              <w:textAlignment w:val="center"/>
              <w:rPr>
                <w:color w:val="000000"/>
              </w:rPr>
            </w:pPr>
          </w:p>
          <w:p w14:paraId="07E7615E" w14:textId="0E615203" w:rsidR="00DE51C1" w:rsidRPr="006225BD" w:rsidRDefault="00DE51C1" w:rsidP="00D213E6">
            <w:pPr>
              <w:widowControl w:val="0"/>
              <w:suppressAutoHyphens/>
              <w:jc w:val="both"/>
              <w:rPr>
                <w:color w:val="000000"/>
                <w:sz w:val="17"/>
                <w:szCs w:val="17"/>
              </w:rPr>
            </w:pPr>
            <w:r w:rsidRPr="006225BD">
              <w:rPr>
                <w:sz w:val="17"/>
                <w:szCs w:val="17"/>
              </w:rPr>
              <w:t>(</w:t>
            </w:r>
            <w:r w:rsidRPr="006225BD">
              <w:rPr>
                <w:i/>
                <w:iCs/>
                <w:sz w:val="17"/>
                <w:szCs w:val="17"/>
              </w:rPr>
              <w:t xml:space="preserve">Paaiškinimas. </w:t>
            </w:r>
            <w:r w:rsidRPr="006225BD">
              <w:rPr>
                <w:sz w:val="17"/>
                <w:szCs w:val="17"/>
              </w:rPr>
              <w:t>46.</w:t>
            </w:r>
            <w:r>
              <w:rPr>
                <w:sz w:val="17"/>
                <w:szCs w:val="17"/>
              </w:rPr>
              <w:t xml:space="preserve">p. </w:t>
            </w:r>
            <w:r w:rsidRPr="006225BD">
              <w:rPr>
                <w:sz w:val="17"/>
                <w:szCs w:val="17"/>
              </w:rPr>
              <w:t xml:space="preserve">Vaikų maitinimo valgiaraščiai turi būti sudaromi atsižvelgiant į rekomenduojamas paros normas bei į vaikų buvimo įstaigoje trukmę. Valgiaraščių energinė ir maistinė vertė nuo rekomenduojamų paros normų gali nukrypti ne daugiau nei penkis procentus. </w:t>
            </w:r>
            <w:r w:rsidRPr="006225BD">
              <w:rPr>
                <w:bCs/>
                <w:sz w:val="17"/>
                <w:szCs w:val="17"/>
              </w:rPr>
              <w:t>Valgiaraštyje nurodyti ir faktiškai patiekiami maisto produktai ar patiekalai gali skirtis, jei a</w:t>
            </w:r>
            <w:r w:rsidRPr="006225BD">
              <w:rPr>
                <w:bCs/>
                <w:color w:val="000000"/>
                <w:sz w:val="17"/>
                <w:szCs w:val="17"/>
              </w:rPr>
              <w:t>tliekami nereikšmingi vienkartiniai keitimai: vienas maisto produktas ar patiekalas pakeičiamas tos pačios maisto produktų grupės kitu maisto produktu ar patiekalu, kai maistinė vertė nepablogėja, o energinė vertė pasikeičia ne daugiau kaip dešimt procentų. Jei valgiaraštyje tie patys nereikšmingi vienkartiniai keitimai kartojasi, valgiaraštis turi būti pakeistas ir patvirtintas iš naujo.</w:t>
            </w:r>
            <w:r w:rsidRPr="006225BD">
              <w:rPr>
                <w:sz w:val="17"/>
                <w:szCs w:val="17"/>
              </w:rPr>
              <w:t xml:space="preserve"> </w:t>
            </w:r>
          </w:p>
          <w:p w14:paraId="528F007B" w14:textId="386E4758" w:rsidR="00DE51C1" w:rsidRDefault="00DE51C1" w:rsidP="00D213E6">
            <w:pPr>
              <w:suppressAutoHyphens/>
              <w:jc w:val="both"/>
              <w:textAlignment w:val="center"/>
              <w:rPr>
                <w:sz w:val="17"/>
                <w:szCs w:val="17"/>
              </w:rPr>
            </w:pPr>
            <w:r w:rsidRPr="006225BD">
              <w:rPr>
                <w:color w:val="000000"/>
                <w:sz w:val="17"/>
                <w:szCs w:val="17"/>
              </w:rPr>
              <w:t>47.</w:t>
            </w:r>
            <w:r>
              <w:rPr>
                <w:color w:val="000000"/>
                <w:sz w:val="17"/>
                <w:szCs w:val="17"/>
              </w:rPr>
              <w:t xml:space="preserve">p. </w:t>
            </w:r>
            <w:r w:rsidRPr="006225BD">
              <w:rPr>
                <w:color w:val="000000"/>
                <w:sz w:val="17"/>
                <w:szCs w:val="17"/>
              </w:rPr>
              <w:t xml:space="preserve"> Mokyklose valgiaraščiai sudaromi ne mažiau kaip 15 darbo dienų laikotarpiui, poilsio stovyklose valgiaraščiai sudaromi ne mažiau kaip 5 kalendorinių dienų laikotarpiui, vaikų socialinės globos namuose – 10 darbo dienų laikotarpiui (švenčių ir poilsio dienomis vaikų maitinimui valgiaraščiai netaikomi, maitinimas organizuojamas pagal galimybes dalyvaujant vaikams).</w:t>
            </w:r>
            <w:r w:rsidRPr="006225BD">
              <w:rPr>
                <w:sz w:val="17"/>
                <w:szCs w:val="17"/>
              </w:rPr>
              <w:t xml:space="preserve"> </w:t>
            </w:r>
          </w:p>
          <w:p w14:paraId="53124467" w14:textId="6B188DD0" w:rsidR="00DE51C1" w:rsidRPr="003875C7" w:rsidRDefault="00DE51C1" w:rsidP="00D213E6">
            <w:pPr>
              <w:suppressAutoHyphens/>
              <w:jc w:val="both"/>
              <w:textAlignment w:val="center"/>
              <w:rPr>
                <w:color w:val="000000"/>
              </w:rPr>
            </w:pPr>
            <w:r>
              <w:rPr>
                <w:sz w:val="17"/>
                <w:szCs w:val="17"/>
              </w:rPr>
              <w:t>Patiekalo maistinės vertės neprivaloma nurodyti bendrojo ugdymo programas vykdančioms įstaigoms, organizuojančioms tik pietus. Pritaikyto maitinimo valgiaraščiams ši išimtis netaikoma.</w:t>
            </w:r>
          </w:p>
        </w:tc>
        <w:tc>
          <w:tcPr>
            <w:tcW w:w="1418" w:type="dxa"/>
          </w:tcPr>
          <w:p w14:paraId="7ED6F576" w14:textId="77777777" w:rsidR="00DE51C1" w:rsidRPr="001A19AC" w:rsidRDefault="00DE51C1" w:rsidP="008F11E8">
            <w:pPr>
              <w:rPr>
                <w:color w:val="000000"/>
                <w:sz w:val="24"/>
                <w:szCs w:val="24"/>
              </w:rPr>
            </w:pPr>
          </w:p>
        </w:tc>
        <w:tc>
          <w:tcPr>
            <w:tcW w:w="1559" w:type="dxa"/>
          </w:tcPr>
          <w:p w14:paraId="1793AC1A" w14:textId="77777777" w:rsidR="00DE51C1" w:rsidRPr="001A19AC" w:rsidRDefault="00DE51C1" w:rsidP="008F11E8">
            <w:pPr>
              <w:rPr>
                <w:color w:val="000000"/>
                <w:sz w:val="24"/>
                <w:szCs w:val="24"/>
              </w:rPr>
            </w:pPr>
          </w:p>
        </w:tc>
      </w:tr>
      <w:tr w:rsidR="00DE51C1" w:rsidRPr="001A19AC" w14:paraId="7852E6CE" w14:textId="77777777" w:rsidTr="00813CF5">
        <w:trPr>
          <w:trHeight w:val="252"/>
        </w:trPr>
        <w:tc>
          <w:tcPr>
            <w:tcW w:w="710" w:type="dxa"/>
            <w:vMerge/>
          </w:tcPr>
          <w:p w14:paraId="1331CEB8" w14:textId="77777777" w:rsidR="00DE51C1" w:rsidRPr="001A19AC" w:rsidRDefault="00DE51C1" w:rsidP="00E37AF2">
            <w:pPr>
              <w:numPr>
                <w:ilvl w:val="0"/>
                <w:numId w:val="3"/>
              </w:numPr>
              <w:spacing w:line="276" w:lineRule="auto"/>
              <w:jc w:val="center"/>
              <w:rPr>
                <w:color w:val="000000"/>
                <w:sz w:val="24"/>
                <w:szCs w:val="24"/>
              </w:rPr>
            </w:pPr>
          </w:p>
        </w:tc>
        <w:tc>
          <w:tcPr>
            <w:tcW w:w="11481" w:type="dxa"/>
          </w:tcPr>
          <w:p w14:paraId="4406EDD7" w14:textId="3DDDC598" w:rsidR="00DE51C1" w:rsidRPr="00DE51C1" w:rsidRDefault="00DE51C1" w:rsidP="004F79CA">
            <w:pPr>
              <w:suppressAutoHyphens/>
              <w:ind w:left="102"/>
              <w:textAlignment w:val="center"/>
              <w:rPr>
                <w:rFonts w:eastAsia="Calibri"/>
              </w:rPr>
            </w:pPr>
            <w:r>
              <w:rPr>
                <w:rFonts w:eastAsia="Calibri"/>
              </w:rPr>
              <w:t>1.25. V</w:t>
            </w:r>
            <w:r w:rsidRPr="00DE51C1">
              <w:rPr>
                <w:rFonts w:eastAsia="Calibri"/>
              </w:rPr>
              <w:t>irtuvėje ir valgykloje laikomasi higienos normų</w:t>
            </w:r>
            <w:r>
              <w:rPr>
                <w:rFonts w:eastAsia="Calibri"/>
              </w:rPr>
              <w:t xml:space="preserve"> (Šilutės rajono savivaldybės tarybos sprendimu patvirtinto Š</w:t>
            </w:r>
            <w:r w:rsidRPr="00DE51C1">
              <w:rPr>
                <w:rFonts w:eastAsia="Calibri"/>
              </w:rPr>
              <w:t>ilutės rajono savivaldybės ugdymo įstaigų vaikų maitinimo organizavimo tvarkos apraš</w:t>
            </w:r>
            <w:r>
              <w:rPr>
                <w:rFonts w:eastAsia="Calibri"/>
              </w:rPr>
              <w:t xml:space="preserve">o </w:t>
            </w:r>
            <w:r w:rsidRPr="004F79CA">
              <w:rPr>
                <w:rFonts w:eastAsia="Calibri"/>
                <w:b/>
                <w:bCs/>
              </w:rPr>
              <w:t>6.2.14 p.)</w:t>
            </w:r>
          </w:p>
          <w:p w14:paraId="78D42169" w14:textId="58DF2207" w:rsidR="00DE51C1" w:rsidRDefault="00DE51C1" w:rsidP="00D213E6">
            <w:pPr>
              <w:suppressAutoHyphens/>
              <w:jc w:val="both"/>
              <w:textAlignment w:val="center"/>
              <w:rPr>
                <w:rFonts w:eastAsia="Calibri"/>
              </w:rPr>
            </w:pPr>
          </w:p>
        </w:tc>
        <w:tc>
          <w:tcPr>
            <w:tcW w:w="1418" w:type="dxa"/>
          </w:tcPr>
          <w:p w14:paraId="7D12BEAA" w14:textId="77777777" w:rsidR="00DE51C1" w:rsidRPr="001A19AC" w:rsidRDefault="00DE51C1" w:rsidP="008F11E8">
            <w:pPr>
              <w:rPr>
                <w:color w:val="000000"/>
                <w:sz w:val="24"/>
                <w:szCs w:val="24"/>
              </w:rPr>
            </w:pPr>
          </w:p>
        </w:tc>
        <w:tc>
          <w:tcPr>
            <w:tcW w:w="1559" w:type="dxa"/>
          </w:tcPr>
          <w:p w14:paraId="532973F9" w14:textId="77777777" w:rsidR="00DE51C1" w:rsidRPr="001A19AC" w:rsidRDefault="00DE51C1" w:rsidP="008F11E8">
            <w:pPr>
              <w:rPr>
                <w:color w:val="000000"/>
                <w:sz w:val="24"/>
                <w:szCs w:val="24"/>
              </w:rPr>
            </w:pPr>
          </w:p>
        </w:tc>
      </w:tr>
      <w:tr w:rsidR="006C4126" w:rsidRPr="001A19AC" w14:paraId="3A888106" w14:textId="77777777" w:rsidTr="000466E6">
        <w:trPr>
          <w:trHeight w:val="554"/>
        </w:trPr>
        <w:tc>
          <w:tcPr>
            <w:tcW w:w="710" w:type="dxa"/>
            <w:vMerge w:val="restart"/>
          </w:tcPr>
          <w:p w14:paraId="0FFE6213" w14:textId="395B9DDC" w:rsidR="006C4126" w:rsidRPr="001A19AC" w:rsidRDefault="00E37AF2" w:rsidP="00E37AF2">
            <w:pPr>
              <w:spacing w:line="276" w:lineRule="auto"/>
              <w:jc w:val="center"/>
              <w:rPr>
                <w:color w:val="000000"/>
                <w:sz w:val="24"/>
                <w:szCs w:val="24"/>
              </w:rPr>
            </w:pPr>
            <w:r>
              <w:rPr>
                <w:color w:val="000000"/>
                <w:sz w:val="24"/>
                <w:szCs w:val="24"/>
              </w:rPr>
              <w:t>2.</w:t>
            </w:r>
          </w:p>
        </w:tc>
        <w:tc>
          <w:tcPr>
            <w:tcW w:w="14458" w:type="dxa"/>
            <w:gridSpan w:val="3"/>
            <w:shd w:val="clear" w:color="auto" w:fill="D0CECE" w:themeFill="background2" w:themeFillShade="E6"/>
          </w:tcPr>
          <w:p w14:paraId="48D1FA9F" w14:textId="0B7DE5D9" w:rsidR="006C4126" w:rsidRPr="00023B10" w:rsidRDefault="006C4126" w:rsidP="00D213E6">
            <w:pPr>
              <w:jc w:val="both"/>
              <w:rPr>
                <w:b/>
                <w:bCs/>
                <w:shd w:val="clear" w:color="auto" w:fill="FFFFFF"/>
              </w:rPr>
            </w:pPr>
            <w:r w:rsidRPr="000466E6">
              <w:rPr>
                <w:b/>
                <w:bCs/>
                <w:highlight w:val="lightGray"/>
                <w:shd w:val="clear" w:color="auto" w:fill="FFFFFF"/>
              </w:rPr>
              <w:t>Pildoma karantino, ekstremalios situacijos, ekstremalaus įvykio ar įvykio laikotarpiu, jei tuo metu sustabdomas vaikų maitinimo paslaugų teikimas mokyklose, taip pat kai vaikui skirtas mokymas namuose įvertinti ar vaikams teikiami maisto produktai nėra draudžiami.</w:t>
            </w:r>
          </w:p>
        </w:tc>
      </w:tr>
      <w:tr w:rsidR="006C4126" w:rsidRPr="001A19AC" w14:paraId="71EBFE0F" w14:textId="77777777" w:rsidTr="008D7825">
        <w:trPr>
          <w:trHeight w:val="1840"/>
        </w:trPr>
        <w:tc>
          <w:tcPr>
            <w:tcW w:w="710" w:type="dxa"/>
            <w:vMerge/>
          </w:tcPr>
          <w:p w14:paraId="08A363F6" w14:textId="0C0E5E48" w:rsidR="006C4126" w:rsidRPr="001A19AC" w:rsidRDefault="006C4126" w:rsidP="006C4126">
            <w:pPr>
              <w:spacing w:line="276" w:lineRule="auto"/>
              <w:rPr>
                <w:color w:val="000000"/>
                <w:sz w:val="24"/>
                <w:szCs w:val="24"/>
              </w:rPr>
            </w:pPr>
          </w:p>
        </w:tc>
        <w:tc>
          <w:tcPr>
            <w:tcW w:w="11481" w:type="dxa"/>
          </w:tcPr>
          <w:p w14:paraId="1D02EE17" w14:textId="6BD50B14" w:rsidR="00A77C05" w:rsidRPr="00E37AF2" w:rsidRDefault="006C4126" w:rsidP="00E37AF2">
            <w:pPr>
              <w:pStyle w:val="Sraopastraipa"/>
              <w:numPr>
                <w:ilvl w:val="1"/>
                <w:numId w:val="4"/>
              </w:numPr>
              <w:ind w:left="27" w:firstLine="0"/>
              <w:jc w:val="both"/>
              <w:rPr>
                <w:color w:val="000000"/>
                <w:lang w:eastAsia="lt-LT"/>
              </w:rPr>
            </w:pPr>
            <w:r w:rsidRPr="00E37AF2">
              <w:rPr>
                <w:bCs/>
                <w:color w:val="000000"/>
                <w:lang w:eastAsia="lt-LT"/>
              </w:rPr>
              <w:t>Maisto davin</w:t>
            </w:r>
            <w:r w:rsidR="00036695" w:rsidRPr="00E37AF2">
              <w:rPr>
                <w:bCs/>
                <w:color w:val="000000"/>
                <w:lang w:eastAsia="lt-LT"/>
              </w:rPr>
              <w:t>į sudaro</w:t>
            </w:r>
            <w:r w:rsidRPr="00E37AF2">
              <w:rPr>
                <w:b/>
                <w:color w:val="000000"/>
                <w:lang w:eastAsia="lt-LT"/>
              </w:rPr>
              <w:t xml:space="preserve"> </w:t>
            </w:r>
            <w:r w:rsidRPr="00E37AF2">
              <w:rPr>
                <w:color w:val="000000"/>
                <w:lang w:eastAsia="lt-LT"/>
              </w:rPr>
              <w:t>lengvai paruošia</w:t>
            </w:r>
            <w:r w:rsidR="00036695" w:rsidRPr="00E37AF2">
              <w:rPr>
                <w:color w:val="000000"/>
                <w:lang w:eastAsia="lt-LT"/>
              </w:rPr>
              <w:t>mi</w:t>
            </w:r>
            <w:r w:rsidRPr="00E37AF2">
              <w:rPr>
                <w:color w:val="000000"/>
                <w:lang w:eastAsia="lt-LT"/>
              </w:rPr>
              <w:t xml:space="preserve"> arba paruošti vartoti maisto produktai ar patiekalai</w:t>
            </w:r>
            <w:r w:rsidR="0040177C" w:rsidRPr="00E37AF2">
              <w:rPr>
                <w:color w:val="000000"/>
                <w:lang w:eastAsia="lt-LT"/>
              </w:rPr>
              <w:t xml:space="preserve">. Jie </w:t>
            </w:r>
            <w:r w:rsidRPr="00E37AF2">
              <w:rPr>
                <w:color w:val="000000"/>
                <w:lang w:eastAsia="lt-LT"/>
              </w:rPr>
              <w:t>išduodami tam tikram laikotarpiui pagal sveikatos apsaugos ministro nustatytas vidutines rekomenduojamas paros normas ir yra supakuoti, kad būtų galima saugiai nešti, vežti ar kitaip transportuoti (</w:t>
            </w:r>
            <w:r w:rsidRPr="00E37AF2">
              <w:rPr>
                <w:b/>
                <w:bCs/>
                <w:color w:val="000000"/>
                <w:lang w:eastAsia="lt-LT"/>
              </w:rPr>
              <w:t>5.31 p.</w:t>
            </w:r>
            <w:r w:rsidRPr="00E37AF2">
              <w:rPr>
                <w:color w:val="000000"/>
                <w:lang w:eastAsia="lt-LT"/>
              </w:rPr>
              <w:t>).</w:t>
            </w:r>
          </w:p>
          <w:p w14:paraId="6B4579E2" w14:textId="77777777" w:rsidR="00D213E6" w:rsidRPr="00A77C05" w:rsidRDefault="00D213E6" w:rsidP="00D213E6">
            <w:pPr>
              <w:pStyle w:val="Sraopastraipa"/>
              <w:ind w:left="0"/>
              <w:jc w:val="both"/>
              <w:rPr>
                <w:color w:val="000000"/>
                <w:lang w:eastAsia="lt-LT"/>
              </w:rPr>
            </w:pPr>
          </w:p>
          <w:p w14:paraId="7F3E7A5A" w14:textId="3103B732" w:rsidR="006C4126" w:rsidRPr="001B4543" w:rsidRDefault="008C4BE7" w:rsidP="00D213E6">
            <w:pPr>
              <w:jc w:val="both"/>
              <w:rPr>
                <w:sz w:val="17"/>
                <w:szCs w:val="17"/>
                <w:shd w:val="clear" w:color="auto" w:fill="FFFFFF"/>
                <w:lang w:val="en-US"/>
              </w:rPr>
            </w:pPr>
            <w:r>
              <w:rPr>
                <w:sz w:val="17"/>
                <w:szCs w:val="17"/>
                <w:shd w:val="clear" w:color="auto" w:fill="FFFFFF"/>
              </w:rPr>
              <w:t>(</w:t>
            </w:r>
            <w:r w:rsidRPr="008C4BE7">
              <w:rPr>
                <w:i/>
                <w:iCs/>
                <w:sz w:val="17"/>
                <w:szCs w:val="17"/>
                <w:shd w:val="clear" w:color="auto" w:fill="FFFFFF"/>
              </w:rPr>
              <w:t>Pastaba.</w:t>
            </w:r>
            <w:r w:rsidRPr="008C4BE7">
              <w:rPr>
                <w:sz w:val="17"/>
                <w:szCs w:val="17"/>
                <w:shd w:val="clear" w:color="auto" w:fill="FFFFFF"/>
              </w:rPr>
              <w:t xml:space="preserve"> </w:t>
            </w:r>
            <w:r w:rsidR="006C4126" w:rsidRPr="008C4BE7">
              <w:rPr>
                <w:sz w:val="17"/>
                <w:szCs w:val="17"/>
                <w:shd w:val="clear" w:color="auto" w:fill="FFFFFF"/>
              </w:rPr>
              <w:t>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aliejai; sultys; sriubos; geriamasis vanduo ir natūralus mineralinis bei šaltinio vanduo (tik išvykoms). Draudžiama maisto davinius išvykoms sudaryti iš greitai gendančių maisto produktų. Sudarant maisto davinius ilgesniam laikui (pvz., karantino metu) rekomenduojama keisti maisto davinių sudėtį, atsižvelgiant į maisto davinius gaunančių vaikų poreikius. (Aprašo 18 p.)</w:t>
            </w:r>
            <w:r w:rsidR="002B4E9C">
              <w:rPr>
                <w:sz w:val="17"/>
                <w:szCs w:val="17"/>
                <w:shd w:val="clear" w:color="auto" w:fill="FFFFFF"/>
              </w:rPr>
              <w:t>).</w:t>
            </w:r>
          </w:p>
        </w:tc>
        <w:tc>
          <w:tcPr>
            <w:tcW w:w="1418" w:type="dxa"/>
          </w:tcPr>
          <w:p w14:paraId="1AE8D26C" w14:textId="77777777" w:rsidR="006C4126" w:rsidRPr="001A19AC" w:rsidRDefault="006C4126" w:rsidP="008F11E8">
            <w:pPr>
              <w:rPr>
                <w:color w:val="000000"/>
                <w:sz w:val="24"/>
                <w:szCs w:val="24"/>
              </w:rPr>
            </w:pPr>
          </w:p>
        </w:tc>
        <w:tc>
          <w:tcPr>
            <w:tcW w:w="1559" w:type="dxa"/>
          </w:tcPr>
          <w:p w14:paraId="70DD394C" w14:textId="77777777" w:rsidR="006C4126" w:rsidRPr="001A19AC" w:rsidRDefault="006C4126" w:rsidP="008F11E8">
            <w:pPr>
              <w:rPr>
                <w:color w:val="000000"/>
                <w:sz w:val="24"/>
                <w:szCs w:val="24"/>
              </w:rPr>
            </w:pPr>
          </w:p>
        </w:tc>
      </w:tr>
    </w:tbl>
    <w:p w14:paraId="6FB67E8E" w14:textId="77777777" w:rsidR="00A77C05" w:rsidRDefault="00A77C05" w:rsidP="00813CF5">
      <w:pPr>
        <w:rPr>
          <w:bCs/>
          <w:sz w:val="24"/>
          <w:szCs w:val="24"/>
        </w:rPr>
      </w:pPr>
    </w:p>
    <w:p w14:paraId="6BF0754F" w14:textId="34A66D29" w:rsidR="00813CF5" w:rsidRPr="00DF4854" w:rsidRDefault="00813CF5" w:rsidP="00813CF5">
      <w:pPr>
        <w:rPr>
          <w:sz w:val="24"/>
          <w:szCs w:val="24"/>
        </w:rPr>
      </w:pPr>
      <w:r w:rsidRPr="00DF4854">
        <w:rPr>
          <w:bCs/>
          <w:sz w:val="24"/>
          <w:szCs w:val="24"/>
        </w:rPr>
        <w:t>Patikrinimas</w:t>
      </w:r>
      <w:r>
        <w:rPr>
          <w:bCs/>
          <w:sz w:val="24"/>
          <w:szCs w:val="24"/>
        </w:rPr>
        <w:t xml:space="preserve"> atliktas:   </w:t>
      </w:r>
      <w:r w:rsidRPr="00DF4854">
        <w:rPr>
          <w:sz w:val="24"/>
          <w:szCs w:val="24"/>
        </w:rPr>
        <w:t>20__ m. ______________ d.</w:t>
      </w:r>
      <w:r w:rsidRPr="00DF4854">
        <w:rPr>
          <w:sz w:val="24"/>
          <w:szCs w:val="24"/>
        </w:rPr>
        <w:tab/>
        <w:t>______ val.</w:t>
      </w:r>
    </w:p>
    <w:p w14:paraId="02D1507D" w14:textId="77777777" w:rsidR="00813CF5" w:rsidRPr="00C007A0" w:rsidRDefault="00813CF5" w:rsidP="00813CF5">
      <w:pPr>
        <w:rPr>
          <w:sz w:val="24"/>
          <w:szCs w:val="24"/>
        </w:rPr>
      </w:pPr>
    </w:p>
    <w:p w14:paraId="33097765" w14:textId="77777777" w:rsidR="00813CF5" w:rsidRPr="00AC0578" w:rsidRDefault="00813CF5" w:rsidP="00813CF5">
      <w:pPr>
        <w:rPr>
          <w:sz w:val="16"/>
          <w:szCs w:val="24"/>
        </w:rPr>
      </w:pPr>
    </w:p>
    <w:p w14:paraId="0D362913" w14:textId="77777777" w:rsidR="00813CF5" w:rsidRPr="003B1060" w:rsidRDefault="00813CF5" w:rsidP="00813CF5">
      <w:pPr>
        <w:rPr>
          <w:sz w:val="24"/>
          <w:szCs w:val="24"/>
        </w:rPr>
      </w:pPr>
      <w:r>
        <w:rPr>
          <w:sz w:val="24"/>
          <w:szCs w:val="24"/>
        </w:rPr>
        <w:t>Patikrino</w:t>
      </w:r>
      <w:r w:rsidRPr="003B1060">
        <w:rPr>
          <w:b/>
          <w:sz w:val="24"/>
          <w:szCs w:val="24"/>
        </w:rPr>
        <w:t xml:space="preserve">      </w:t>
      </w:r>
      <w:r w:rsidRPr="003B1060">
        <w:rPr>
          <w:sz w:val="24"/>
          <w:szCs w:val="24"/>
        </w:rPr>
        <w:t>___________________________________________________</w:t>
      </w:r>
    </w:p>
    <w:p w14:paraId="71D27E0A" w14:textId="4722046C" w:rsidR="00813CF5" w:rsidRDefault="00813CF5" w:rsidP="00813CF5">
      <w:pPr>
        <w:rPr>
          <w:sz w:val="24"/>
          <w:szCs w:val="24"/>
        </w:rPr>
      </w:pPr>
      <w:r w:rsidRPr="003B1060">
        <w:rPr>
          <w:sz w:val="24"/>
          <w:szCs w:val="24"/>
        </w:rPr>
        <w:t xml:space="preserve">                                             ( pareigos, vardas, pavardė, parašas)</w:t>
      </w:r>
      <w:r w:rsidRPr="003B1060">
        <w:rPr>
          <w:sz w:val="24"/>
          <w:szCs w:val="24"/>
        </w:rPr>
        <w:tab/>
      </w:r>
    </w:p>
    <w:p w14:paraId="7F10805E" w14:textId="37198DE2" w:rsidR="00A77C05" w:rsidRDefault="00A77C05" w:rsidP="00813CF5">
      <w:pPr>
        <w:rPr>
          <w:sz w:val="24"/>
          <w:szCs w:val="24"/>
        </w:rPr>
      </w:pPr>
    </w:p>
    <w:p w14:paraId="6A64FB21" w14:textId="3F030DA2" w:rsidR="00A77C05" w:rsidRDefault="00A77C05" w:rsidP="00813CF5">
      <w:pPr>
        <w:rPr>
          <w:sz w:val="24"/>
          <w:szCs w:val="24"/>
        </w:rPr>
      </w:pPr>
    </w:p>
    <w:p w14:paraId="732EE839" w14:textId="77777777" w:rsidR="00A77C05" w:rsidRPr="008B7C8B" w:rsidRDefault="00A77C05" w:rsidP="00813CF5">
      <w:pPr>
        <w:rPr>
          <w:sz w:val="24"/>
          <w:szCs w:val="24"/>
        </w:rPr>
      </w:pPr>
    </w:p>
    <w:p w14:paraId="3546FA8F" w14:textId="1129043B" w:rsidR="00F0451C" w:rsidRDefault="00641E69" w:rsidP="00641E69">
      <w:pPr>
        <w:jc w:val="center"/>
      </w:pPr>
      <w:r>
        <w:t>_________________________</w:t>
      </w:r>
    </w:p>
    <w:sectPr w:rsidR="00F0451C" w:rsidSect="003875C7">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0C77"/>
    <w:multiLevelType w:val="multilevel"/>
    <w:tmpl w:val="BDD2D5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733E4D"/>
    <w:multiLevelType w:val="multilevel"/>
    <w:tmpl w:val="943A0BB8"/>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0262308"/>
    <w:multiLevelType w:val="hybridMultilevel"/>
    <w:tmpl w:val="34120B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09560FF"/>
    <w:multiLevelType w:val="multilevel"/>
    <w:tmpl w:val="2B4A0C0C"/>
    <w:lvl w:ilvl="0">
      <w:start w:val="4"/>
      <w:numFmt w:val="decimal"/>
      <w:lvlText w:val="%1."/>
      <w:lvlJc w:val="left"/>
      <w:pPr>
        <w:ind w:left="8037" w:hanging="240"/>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62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480" w:hanging="629"/>
      </w:pPr>
      <w:rPr>
        <w:lang w:val="lt-LT" w:eastAsia="en-US" w:bidi="ar-SA"/>
      </w:rPr>
    </w:lvl>
    <w:lvl w:ilvl="4">
      <w:numFmt w:val="bullet"/>
      <w:lvlText w:val="•"/>
      <w:lvlJc w:val="left"/>
      <w:pPr>
        <w:ind w:left="3580" w:hanging="629"/>
      </w:pPr>
      <w:rPr>
        <w:lang w:val="lt-LT" w:eastAsia="en-US" w:bidi="ar-SA"/>
      </w:rPr>
    </w:lvl>
    <w:lvl w:ilvl="5">
      <w:numFmt w:val="bullet"/>
      <w:lvlText w:val="•"/>
      <w:lvlJc w:val="left"/>
      <w:pPr>
        <w:ind w:left="4680" w:hanging="629"/>
      </w:pPr>
      <w:rPr>
        <w:lang w:val="lt-LT" w:eastAsia="en-US" w:bidi="ar-SA"/>
      </w:rPr>
    </w:lvl>
    <w:lvl w:ilvl="6">
      <w:numFmt w:val="bullet"/>
      <w:lvlText w:val="•"/>
      <w:lvlJc w:val="left"/>
      <w:pPr>
        <w:ind w:left="5780" w:hanging="629"/>
      </w:pPr>
      <w:rPr>
        <w:lang w:val="lt-LT" w:eastAsia="en-US" w:bidi="ar-SA"/>
      </w:rPr>
    </w:lvl>
    <w:lvl w:ilvl="7">
      <w:numFmt w:val="bullet"/>
      <w:lvlText w:val="•"/>
      <w:lvlJc w:val="left"/>
      <w:pPr>
        <w:ind w:left="6880" w:hanging="629"/>
      </w:pPr>
      <w:rPr>
        <w:lang w:val="lt-LT" w:eastAsia="en-US" w:bidi="ar-SA"/>
      </w:rPr>
    </w:lvl>
    <w:lvl w:ilvl="8">
      <w:numFmt w:val="bullet"/>
      <w:lvlText w:val="•"/>
      <w:lvlJc w:val="left"/>
      <w:pPr>
        <w:ind w:left="7980" w:hanging="629"/>
      </w:pPr>
      <w:rPr>
        <w:lang w:val="lt-LT" w:eastAsia="en-US" w:bidi="ar-SA"/>
      </w:rPr>
    </w:lvl>
  </w:abstractNum>
  <w:abstractNum w:abstractNumId="4" w15:restartNumberingAfterBreak="0">
    <w:nsid w:val="5FE92DA8"/>
    <w:multiLevelType w:val="multilevel"/>
    <w:tmpl w:val="76DEA0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1750707">
    <w:abstractNumId w:val="2"/>
  </w:num>
  <w:num w:numId="2" w16cid:durableId="776565940">
    <w:abstractNumId w:val="1"/>
  </w:num>
  <w:num w:numId="3" w16cid:durableId="1065638596">
    <w:abstractNumId w:val="0"/>
  </w:num>
  <w:num w:numId="4" w16cid:durableId="1182205358">
    <w:abstractNumId w:val="4"/>
  </w:num>
  <w:num w:numId="5" w16cid:durableId="569073721">
    <w:abstractNumId w:val="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67"/>
    <w:rsid w:val="00023B10"/>
    <w:rsid w:val="000345D9"/>
    <w:rsid w:val="00036695"/>
    <w:rsid w:val="000466E6"/>
    <w:rsid w:val="00080C5F"/>
    <w:rsid w:val="000B69C7"/>
    <w:rsid w:val="0015485D"/>
    <w:rsid w:val="0017746A"/>
    <w:rsid w:val="001B3223"/>
    <w:rsid w:val="001B4543"/>
    <w:rsid w:val="001C7211"/>
    <w:rsid w:val="002358A6"/>
    <w:rsid w:val="00282F0C"/>
    <w:rsid w:val="00286343"/>
    <w:rsid w:val="00297ADA"/>
    <w:rsid w:val="002B4E9C"/>
    <w:rsid w:val="002F603D"/>
    <w:rsid w:val="0030700E"/>
    <w:rsid w:val="00330432"/>
    <w:rsid w:val="003875C7"/>
    <w:rsid w:val="003C49AD"/>
    <w:rsid w:val="003E0BE8"/>
    <w:rsid w:val="0040177C"/>
    <w:rsid w:val="0040515D"/>
    <w:rsid w:val="0041184E"/>
    <w:rsid w:val="004546D8"/>
    <w:rsid w:val="00481670"/>
    <w:rsid w:val="00491325"/>
    <w:rsid w:val="004C573C"/>
    <w:rsid w:val="004F37B1"/>
    <w:rsid w:val="004F79CA"/>
    <w:rsid w:val="00533B8C"/>
    <w:rsid w:val="00554DE7"/>
    <w:rsid w:val="00567A1D"/>
    <w:rsid w:val="00572D51"/>
    <w:rsid w:val="005C373E"/>
    <w:rsid w:val="005E60AA"/>
    <w:rsid w:val="00607048"/>
    <w:rsid w:val="006225BD"/>
    <w:rsid w:val="00624E74"/>
    <w:rsid w:val="0063473D"/>
    <w:rsid w:val="00641E69"/>
    <w:rsid w:val="00683CFE"/>
    <w:rsid w:val="006C4126"/>
    <w:rsid w:val="006F5B68"/>
    <w:rsid w:val="007167DA"/>
    <w:rsid w:val="00732739"/>
    <w:rsid w:val="00763040"/>
    <w:rsid w:val="007B1687"/>
    <w:rsid w:val="00813CF5"/>
    <w:rsid w:val="008774E2"/>
    <w:rsid w:val="008A6626"/>
    <w:rsid w:val="008B69B3"/>
    <w:rsid w:val="008C4BE7"/>
    <w:rsid w:val="008C51AF"/>
    <w:rsid w:val="008D7825"/>
    <w:rsid w:val="00992A9E"/>
    <w:rsid w:val="009B696D"/>
    <w:rsid w:val="009C4B61"/>
    <w:rsid w:val="009C7D04"/>
    <w:rsid w:val="009F7C28"/>
    <w:rsid w:val="00A4625E"/>
    <w:rsid w:val="00A77C05"/>
    <w:rsid w:val="00AF6F77"/>
    <w:rsid w:val="00B11605"/>
    <w:rsid w:val="00B153CF"/>
    <w:rsid w:val="00B26EB2"/>
    <w:rsid w:val="00B27267"/>
    <w:rsid w:val="00B44C4A"/>
    <w:rsid w:val="00B52DE2"/>
    <w:rsid w:val="00B5789D"/>
    <w:rsid w:val="00B708D7"/>
    <w:rsid w:val="00B83DBC"/>
    <w:rsid w:val="00BB2602"/>
    <w:rsid w:val="00BD7A07"/>
    <w:rsid w:val="00BE0313"/>
    <w:rsid w:val="00C2185A"/>
    <w:rsid w:val="00C253CC"/>
    <w:rsid w:val="00C43C0D"/>
    <w:rsid w:val="00C91259"/>
    <w:rsid w:val="00CB0002"/>
    <w:rsid w:val="00D213E6"/>
    <w:rsid w:val="00DC1BF8"/>
    <w:rsid w:val="00DE11A6"/>
    <w:rsid w:val="00DE51C1"/>
    <w:rsid w:val="00DF40BC"/>
    <w:rsid w:val="00E011FC"/>
    <w:rsid w:val="00E22E4A"/>
    <w:rsid w:val="00E37AF2"/>
    <w:rsid w:val="00E6633F"/>
    <w:rsid w:val="00E7156D"/>
    <w:rsid w:val="00EA0E5B"/>
    <w:rsid w:val="00F0451C"/>
    <w:rsid w:val="00F37CBE"/>
    <w:rsid w:val="00F531E5"/>
    <w:rsid w:val="00FB04DB"/>
    <w:rsid w:val="00FB1518"/>
    <w:rsid w:val="00FF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C882"/>
  <w15:chartTrackingRefBased/>
  <w15:docId w15:val="{153A3DFE-8AB5-47C1-A3FB-386211EE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267"/>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6343"/>
    <w:pPr>
      <w:ind w:left="720"/>
      <w:contextualSpacing/>
    </w:pPr>
  </w:style>
  <w:style w:type="paragraph" w:styleId="Pataisymai">
    <w:name w:val="Revision"/>
    <w:hidden/>
    <w:uiPriority w:val="99"/>
    <w:semiHidden/>
    <w:rsid w:val="00DE51C1"/>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768796">
      <w:bodyDiv w:val="1"/>
      <w:marLeft w:val="0"/>
      <w:marRight w:val="0"/>
      <w:marTop w:val="0"/>
      <w:marBottom w:val="0"/>
      <w:divBdr>
        <w:top w:val="none" w:sz="0" w:space="0" w:color="auto"/>
        <w:left w:val="none" w:sz="0" w:space="0" w:color="auto"/>
        <w:bottom w:val="none" w:sz="0" w:space="0" w:color="auto"/>
        <w:right w:val="none" w:sz="0" w:space="0" w:color="auto"/>
      </w:divBdr>
    </w:div>
    <w:div w:id="961886589">
      <w:bodyDiv w:val="1"/>
      <w:marLeft w:val="0"/>
      <w:marRight w:val="0"/>
      <w:marTop w:val="0"/>
      <w:marBottom w:val="0"/>
      <w:divBdr>
        <w:top w:val="none" w:sz="0" w:space="0" w:color="auto"/>
        <w:left w:val="none" w:sz="0" w:space="0" w:color="auto"/>
        <w:bottom w:val="none" w:sz="0" w:space="0" w:color="auto"/>
        <w:right w:val="none" w:sz="0" w:space="0" w:color="auto"/>
      </w:divBdr>
    </w:div>
    <w:div w:id="1011293703">
      <w:bodyDiv w:val="1"/>
      <w:marLeft w:val="0"/>
      <w:marRight w:val="0"/>
      <w:marTop w:val="0"/>
      <w:marBottom w:val="0"/>
      <w:divBdr>
        <w:top w:val="none" w:sz="0" w:space="0" w:color="auto"/>
        <w:left w:val="none" w:sz="0" w:space="0" w:color="auto"/>
        <w:bottom w:val="none" w:sz="0" w:space="0" w:color="auto"/>
        <w:right w:val="none" w:sz="0" w:space="0" w:color="auto"/>
      </w:divBdr>
    </w:div>
    <w:div w:id="1230921597">
      <w:bodyDiv w:val="1"/>
      <w:marLeft w:val="0"/>
      <w:marRight w:val="0"/>
      <w:marTop w:val="0"/>
      <w:marBottom w:val="0"/>
      <w:divBdr>
        <w:top w:val="none" w:sz="0" w:space="0" w:color="auto"/>
        <w:left w:val="none" w:sz="0" w:space="0" w:color="auto"/>
        <w:bottom w:val="none" w:sz="0" w:space="0" w:color="auto"/>
        <w:right w:val="none" w:sz="0" w:space="0" w:color="auto"/>
      </w:divBdr>
    </w:div>
    <w:div w:id="1490711198">
      <w:bodyDiv w:val="1"/>
      <w:marLeft w:val="0"/>
      <w:marRight w:val="0"/>
      <w:marTop w:val="0"/>
      <w:marBottom w:val="0"/>
      <w:divBdr>
        <w:top w:val="none" w:sz="0" w:space="0" w:color="auto"/>
        <w:left w:val="none" w:sz="0" w:space="0" w:color="auto"/>
        <w:bottom w:val="none" w:sz="0" w:space="0" w:color="auto"/>
        <w:right w:val="none" w:sz="0" w:space="0" w:color="auto"/>
      </w:divBdr>
    </w:div>
    <w:div w:id="20504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1AF56E-BECD-4B04-8E92-C3C06B13B3B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2A80-0EC1-4825-A04A-30791F10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7521</Words>
  <Characters>4288</Characters>
  <Application>Microsoft Office Word</Application>
  <DocSecurity>0</DocSecurity>
  <Lines>35</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Surplė</dc:creator>
  <cp:keywords/>
  <dc:description/>
  <cp:lastModifiedBy>Gintarė Tamašauskienė</cp:lastModifiedBy>
  <cp:revision>3</cp:revision>
  <dcterms:created xsi:type="dcterms:W3CDTF">2024-08-19T13:47:00Z</dcterms:created>
  <dcterms:modified xsi:type="dcterms:W3CDTF">2024-08-19T13:48:00Z</dcterms:modified>
</cp:coreProperties>
</file>