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1B8DD" w14:textId="42B35C67" w:rsidR="00FA229E" w:rsidRPr="00FA229E" w:rsidRDefault="00FA229E" w:rsidP="00915FC4">
      <w:pPr>
        <w:tabs>
          <w:tab w:val="left" w:pos="5970"/>
        </w:tabs>
        <w:suppressAutoHyphens/>
        <w:spacing w:after="0" w:line="240" w:lineRule="auto"/>
        <w:ind w:right="425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</w:p>
    <w:p w14:paraId="763DC03D" w14:textId="77777777" w:rsidR="00FA229E" w:rsidRPr="00FA229E" w:rsidRDefault="00FA229E" w:rsidP="00915FC4">
      <w:pPr>
        <w:suppressAutoHyphens/>
        <w:spacing w:after="0" w:line="240" w:lineRule="auto"/>
        <w:ind w:right="425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ŠILUTĖS RAJONO SAVIVALDYBĖS ADMINISTRACIJOS</w:t>
      </w:r>
    </w:p>
    <w:p w14:paraId="3A04C8B7" w14:textId="77777777" w:rsidR="00FA229E" w:rsidRPr="00FA229E" w:rsidRDefault="00FA229E" w:rsidP="00915FC4">
      <w:pPr>
        <w:suppressAutoHyphens/>
        <w:spacing w:after="0" w:line="240" w:lineRule="auto"/>
        <w:ind w:right="425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PLANAVIMO IR PLĖTROS SKYRIUS</w:t>
      </w:r>
    </w:p>
    <w:p w14:paraId="6494E554" w14:textId="77777777" w:rsidR="00FA229E" w:rsidRPr="00FA229E" w:rsidRDefault="00FA229E" w:rsidP="00915FC4">
      <w:pPr>
        <w:keepNext/>
        <w:suppressAutoHyphens/>
        <w:spacing w:before="240" w:after="120" w:line="240" w:lineRule="auto"/>
        <w:ind w:right="425"/>
        <w:rPr>
          <w:rFonts w:ascii="Times New Roman" w:eastAsia="Microsoft YaHei" w:hAnsi="Times New Roman" w:cs="Arial"/>
          <w:caps/>
          <w:color w:val="00000A"/>
          <w:kern w:val="2"/>
          <w:sz w:val="28"/>
          <w:szCs w:val="28"/>
          <w:lang w:eastAsia="zh-CN" w:bidi="hi-IN"/>
        </w:rPr>
      </w:pPr>
    </w:p>
    <w:p w14:paraId="3F2EA0FB" w14:textId="77777777" w:rsidR="00FA229E" w:rsidRPr="00FA229E" w:rsidRDefault="00FA229E" w:rsidP="00915FC4">
      <w:pPr>
        <w:suppressAutoHyphens/>
        <w:spacing w:after="140" w:line="288" w:lineRule="auto"/>
        <w:ind w:right="425"/>
        <w:jc w:val="center"/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  <w:t>AIŠKINAMASIS RAŠTAS</w:t>
      </w:r>
    </w:p>
    <w:p w14:paraId="61165ADE" w14:textId="68FF994F" w:rsidR="00FA229E" w:rsidRPr="006A48CB" w:rsidRDefault="00E72839" w:rsidP="00915FC4">
      <w:pPr>
        <w:ind w:right="425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SimSun;宋体" w:hAnsi="Times New Roman" w:cs="Arial"/>
          <w:b/>
          <w:caps/>
          <w:color w:val="00000A"/>
          <w:kern w:val="2"/>
          <w:sz w:val="24"/>
          <w:szCs w:val="24"/>
          <w:lang w:eastAsia="zh-CN" w:bidi="hi-IN"/>
        </w:rPr>
        <w:t xml:space="preserve">    </w:t>
      </w:r>
      <w:r w:rsidR="00FA229E" w:rsidRPr="006A48CB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DĖL TARYBOS SPRENDIMO PROJEKTO </w:t>
      </w:r>
      <w:r w:rsidR="00563628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„</w:t>
      </w:r>
      <w:r w:rsidR="00DB6FF2" w:rsidRPr="00DB6FF2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DĖL PRITARIMO BENDRADARBIAVIMO SUSITARIMUI DĖL SKRYDŽIŲ SKATINIMO</w:t>
      </w:r>
      <w:r w:rsidR="00563628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“</w:t>
      </w:r>
    </w:p>
    <w:p w14:paraId="31A8E95D" w14:textId="30A94C95" w:rsidR="00FA229E" w:rsidRPr="00FA229E" w:rsidRDefault="00FA229E" w:rsidP="00915FC4">
      <w:pPr>
        <w:suppressAutoHyphens/>
        <w:spacing w:after="0" w:line="240" w:lineRule="auto"/>
        <w:ind w:right="425"/>
        <w:jc w:val="center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202</w:t>
      </w:r>
      <w:r w:rsidR="00563628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4</w:t>
      </w: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m. </w:t>
      </w:r>
      <w:r w:rsidR="00DB6FF2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rugpjūčio</w:t>
      </w:r>
      <w:r w:rsidR="00563628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d.</w:t>
      </w:r>
    </w:p>
    <w:p w14:paraId="380D7226" w14:textId="77777777" w:rsidR="00FA229E" w:rsidRPr="00FA229E" w:rsidRDefault="00FA229E" w:rsidP="00915FC4">
      <w:pPr>
        <w:suppressAutoHyphens/>
        <w:spacing w:after="0" w:line="240" w:lineRule="auto"/>
        <w:ind w:right="425"/>
        <w:jc w:val="center"/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Šilutė</w:t>
      </w:r>
    </w:p>
    <w:p w14:paraId="76E0DBB7" w14:textId="77777777" w:rsidR="00FA229E" w:rsidRPr="00FA229E" w:rsidRDefault="00FA229E" w:rsidP="00915FC4">
      <w:pPr>
        <w:tabs>
          <w:tab w:val="left" w:pos="567"/>
        </w:tabs>
        <w:suppressAutoHyphens/>
        <w:spacing w:after="0" w:line="240" w:lineRule="auto"/>
        <w:ind w:right="425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2B59F95D" w14:textId="77777777" w:rsidR="00FA229E" w:rsidRPr="00FA229E" w:rsidRDefault="00FA229E" w:rsidP="00915FC4">
      <w:pPr>
        <w:tabs>
          <w:tab w:val="left" w:pos="567"/>
        </w:tabs>
        <w:suppressAutoHyphens/>
        <w:spacing w:after="0" w:line="240" w:lineRule="auto"/>
        <w:ind w:right="425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FA229E" w:rsidRPr="00FA229E" w14:paraId="500E5FEB" w14:textId="77777777" w:rsidTr="00915FC4">
        <w:tc>
          <w:tcPr>
            <w:tcW w:w="10206" w:type="dxa"/>
            <w:shd w:val="clear" w:color="auto" w:fill="auto"/>
          </w:tcPr>
          <w:p w14:paraId="35C01E42" w14:textId="77777777" w:rsidR="00FA229E" w:rsidRPr="00FA229E" w:rsidRDefault="00FA229E" w:rsidP="00915FC4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37" w:right="425" w:firstLine="851"/>
              <w:jc w:val="both"/>
              <w:rPr>
                <w:rFonts w:ascii="Times New Roman" w:eastAsia="SimSun;宋体" w:hAnsi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  <w:t>Parengto projekto tikslai ir uždaviniai:</w:t>
            </w:r>
          </w:p>
          <w:p w14:paraId="20F41D22" w14:textId="128008A6" w:rsidR="00DE41DA" w:rsidRPr="00FA229E" w:rsidRDefault="00DB6FF2" w:rsidP="00915FC4">
            <w:pPr>
              <w:tabs>
                <w:tab w:val="left" w:pos="0"/>
              </w:tabs>
              <w:suppressAutoHyphens/>
              <w:spacing w:after="0" w:line="276" w:lineRule="auto"/>
              <w:ind w:right="425" w:firstLine="888"/>
              <w:jc w:val="both"/>
              <w:rPr>
                <w:rFonts w:ascii="Times New Roman" w:eastAsia="SimSun;宋体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Šiuo sprendimo projektu yra siekiama gauti </w:t>
            </w:r>
            <w:r w:rsidR="00E16F3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Šilutės rajono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savivaldybės tarybos pritarimą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Bendradarbiavimo susitarimo dėl skrydžių skatinimo pasirašymui (toliau – Susitarimas). Susitarimo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šalys – septynios Klaipėdos regiono savivaldybės, asociacija „Klaipėdos regionas“, Lietuvos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Respublikos susisiekimo ministerija ir Lietuvos Respublikos ekonomikos ir inovacijų ministerija.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Susitarimo tikslas – siekti pritraukti </w:t>
            </w:r>
            <w:r w:rsidR="00E16F3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erslui ir atvykstamajam turizmui svarbių maršrutų,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kurių kryptingam pasiekiamumui užtikrinti gali būti įgyvendinamos skrydžių skatinimo priemonės,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sąraše (patvirtintame Lietuvos Respublikos susisiekimo ministro ir Lietuvos Respublikos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ekonomikos ir inovacijų ministro 2023 m. liepos 17 d. įsakymu Nr. 4-393/3-335 „Dėl Verslui ir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atvykstamajam turizmui svarbių maršrutų, kurių kryptingam pasiekiamumui užtikrinti gali būti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įgyvendinamos skrydžių skatinimo priemonės, sąrašo patvirtinimo“ patvirtintame) (toliau – Svarbių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maršrutų sąrašas) nurodytas kryptis iš Palangos oro uosto </w:t>
            </w:r>
            <w:r w:rsidR="00D96D8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ir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siekti pagal kompetenciją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bendradarbiauti skatinant atvykstamąjį turizmą, Klaipėdos regiono konkurencingumą ir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patrauklumą, tarptautinį susisiekimą</w:t>
            </w:r>
            <w:r w:rsidR="00D96D8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sudaryti sąlygas verslo ir turizmo plėtrai.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Siekis gerinti Klaipėdos regiono žinomumą ir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C14EE"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didinti regiono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pasiekiamumą įvairiomis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transporto rūšimis, įgyvendinant jungtines rinkodaros priemones yra įtvirtintas 2022</w:t>
            </w:r>
            <w:r w:rsidR="00D96D8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–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2030 m.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Klaipėdos regiono plėtros plane, Klaipėdos regiono specializacijos strategijoje iki 2030 m., taip pat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ir atskirų regiono savivaldybių strateginiuose plėtros dokumentuose bei Tarybos sprendimais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patvirtintose programose.</w:t>
            </w:r>
          </w:p>
        </w:tc>
      </w:tr>
      <w:tr w:rsidR="00FA229E" w:rsidRPr="00FA229E" w14:paraId="79A55E62" w14:textId="77777777" w:rsidTr="00915FC4">
        <w:trPr>
          <w:trHeight w:val="559"/>
        </w:trPr>
        <w:tc>
          <w:tcPr>
            <w:tcW w:w="10206" w:type="dxa"/>
            <w:shd w:val="clear" w:color="auto" w:fill="auto"/>
          </w:tcPr>
          <w:p w14:paraId="5282878C" w14:textId="77777777" w:rsidR="00FA229E" w:rsidRPr="00FA229E" w:rsidRDefault="00FA229E" w:rsidP="00915FC4">
            <w:pPr>
              <w:numPr>
                <w:ilvl w:val="0"/>
                <w:numId w:val="1"/>
              </w:numPr>
              <w:tabs>
                <w:tab w:val="left" w:pos="57"/>
              </w:tabs>
              <w:suppressAutoHyphens/>
              <w:spacing w:after="0" w:line="276" w:lineRule="auto"/>
              <w:ind w:left="37" w:right="425" w:firstLine="85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FA229E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  <w:t xml:space="preserve">Kaip šiuo metu yra sureguliuoti projekte aptarti klausimai. </w:t>
            </w:r>
          </w:p>
          <w:p w14:paraId="5B94E1C0" w14:textId="7DA49F9B" w:rsidR="00DE41DA" w:rsidRPr="00FA229E" w:rsidRDefault="00DB6FF2" w:rsidP="00915FC4">
            <w:pPr>
              <w:tabs>
                <w:tab w:val="left" w:pos="57"/>
              </w:tabs>
              <w:spacing w:after="0" w:line="276" w:lineRule="auto"/>
              <w:ind w:right="425" w:firstLine="88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Lietuvos Respublikos vietos savivaldos įstatymo 5 straipsnio 3 dalyje nustatyta, kad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bendriems tikslams pasiekti savivaldybė gali sudaryti jungtinės veiklos sutartis arba bendrų viešųjų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pirkimų sutartis su valstybės institucijomis, regionų plėtros tarybomis ir (ar) kitomis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savivaldybėmis.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Lietuvos Respublikos vietos savivaldos įstatymo 6 straipsnio 38 punkte nustatyta, kad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savarankiškosios savivaldybių funkcijos yra sąlygų verslo ir turizmo plėtrai sudarymas ir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šios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veiklos skatinimas.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Įgyvendinant Lietuvos Respublikos susisiekimo ministro valdymo sričių 2023–2025 metų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strateginiame veiklos plane numatytas priemones „Gerinti susisiekimą oro transportu“ ir „Teikti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paramą naujų maršrutų plėtrai“ ir Lietuvos Respublikos ekonomikos ir inovacijų ministro valdymo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sričių 2023–2025 metų strateginiame veiklos plane numatytą priemonę „Vystyti turizmo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infrastruktūrą ir plėtoti rinkodaros priemones“, Lietuvos Respublikos susisiekimo ministr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o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ir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Lietuvos Respublikos ekonomikos ir inovacijų ministro 2023 m. liepos 17 d. įsakymu Nr. 4-393/3-335 „Dėl Verslui ir atvykstamajam turizmui svarbių maršrutų, kurių kryptingam pasiekiamumui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užtikrinti gali būti įgyvendinamos skrydžių skatinimo priemonės, sąrašo patvirtinimo“ yra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patvirtintas Verslui ir atvykstamajam turizmui svarbių maršrutų, kurių kryptingam pasiekiamumui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lastRenderedPageBreak/>
              <w:t>užtikrinti gali būti įgyvendinamos skrydžių skatinimo priemonės, sąrašas.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2008 m. rugsėjo 24 d. Europos Parlamento ir Tarybos reglamentas (EB) Nr. 1008/2008 dėl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oro susisiekimo paslaugų teikimo Bendrijoje bendrųjų taisyklių numato galimyb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e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valstybėms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narėms nustatyti pareigą teikti viešąsias reguliarias oro susisiekimo paslaugas.</w:t>
            </w:r>
          </w:p>
        </w:tc>
      </w:tr>
      <w:tr w:rsidR="00FA229E" w:rsidRPr="00FA229E" w14:paraId="7A96AB9C" w14:textId="77777777" w:rsidTr="00915FC4">
        <w:tc>
          <w:tcPr>
            <w:tcW w:w="10206" w:type="dxa"/>
            <w:shd w:val="clear" w:color="auto" w:fill="auto"/>
          </w:tcPr>
          <w:p w14:paraId="5822DB6C" w14:textId="77777777" w:rsidR="00FA229E" w:rsidRPr="00FA229E" w:rsidRDefault="00FA229E" w:rsidP="00915FC4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0" w:right="425" w:firstLine="888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lastRenderedPageBreak/>
              <w:t xml:space="preserve">Kokių pozityvių rezultatų laukiama. </w:t>
            </w:r>
          </w:p>
          <w:p w14:paraId="1A3327DC" w14:textId="77777777" w:rsidR="00DB6FF2" w:rsidRPr="00DB6FF2" w:rsidRDefault="00DB6FF2" w:rsidP="00915FC4">
            <w:pPr>
              <w:suppressAutoHyphens/>
              <w:spacing w:after="0" w:line="276" w:lineRule="auto"/>
              <w:ind w:right="425" w:firstLine="88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Naujos teisinio reguliavimo nuostatos nesiūlomos.</w:t>
            </w:r>
          </w:p>
          <w:p w14:paraId="1A604729" w14:textId="0B286091" w:rsidR="00DE41DA" w:rsidRPr="00FA229E" w:rsidRDefault="00DB6FF2" w:rsidP="00915FC4">
            <w:pPr>
              <w:suppressAutoHyphens/>
              <w:spacing w:after="0" w:line="276" w:lineRule="auto"/>
              <w:ind w:right="425" w:firstLine="888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Pritarus teikiamam </w:t>
            </w:r>
            <w:r w:rsidR="00D96D8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arybos sprendimui ir pasirašius Susitarimą</w:t>
            </w:r>
            <w:r w:rsidR="00D96D87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bus sudarytos sąlygos bei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galimybės bendradarbiauti tiek regioniniu, tiek nacionaliniu lygmeniu didinant Klaipėdos regiono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tarptautinį pasiekiamumą, skatinanti naujus ir stiprinant esamus regiono verslo ryšius su kitomis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šalimis bei skatinant atvykstamąjį turizmą. Bendradarbiaujant su AB Lietuvos oro uostais parengtas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trimetis Palangos oro uosto vystymo ir plėtros planas, įskaitant papildomas oro bendrovių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pritraukimo priemones ir oro uostų rinkliavų nuolaidų sistemas. </w:t>
            </w:r>
            <w:r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Susitarimas įpareigoja</w:t>
            </w:r>
            <w:r w:rsid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 jog</w:t>
            </w:r>
            <w:r w:rsidR="002C14EE"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Lietuvos</w:t>
            </w:r>
            <w:r w:rsidR="00915FC4"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</w:t>
            </w:r>
            <w:r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Respublikos susiekimo ministerija ir Lietuvos Respublikos ekonomikos ir inovacijų ministerija</w:t>
            </w:r>
            <w:r w:rsidR="00915FC4"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C14E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sieks imtis veiksmų, kad būtų skirti valstybės asignavimai Palangos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oro uosto skrydžių skatinimo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priemonių finansavimui, kad būtų pritraukta daugiau užsakomųjų skrydžių krypčių, vykdomų iš / į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Palangos oro uosto (-ą), į Svarbių maršrutų sąrašą būtų įtrauktos dvi papildomos Klaipėdos regionui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svarbios kryptys, </w:t>
            </w:r>
            <w:r w:rsidR="00E16F3D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erslui ir atvykstamajam turizmui svarbių maršrutų, kurių kryptingam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pasiekiamumui užtikrinti gali būti įgyvendinamos skrydžių skatinimo priemonės, sąrašo sudarymo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darbo grupę bus skiriamas vienas atstovas iš asociacijos „Klaipėdos regionas“ arba jos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atstovaujamos savivaldybės atstovas ir kitos Susitarime nurodytos teisės aktų nustatyta tvarka ir</w:t>
            </w:r>
            <w:r w:rsidR="00915FC4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būdais skrydžių skatinimo įgyvendinimo priemonės.</w:t>
            </w:r>
          </w:p>
        </w:tc>
      </w:tr>
      <w:tr w:rsidR="00FA229E" w:rsidRPr="00FA229E" w14:paraId="2D877E63" w14:textId="77777777" w:rsidTr="00915FC4">
        <w:tc>
          <w:tcPr>
            <w:tcW w:w="10206" w:type="dxa"/>
            <w:shd w:val="clear" w:color="auto" w:fill="auto"/>
          </w:tcPr>
          <w:p w14:paraId="704638AC" w14:textId="64D16468" w:rsidR="00DE41DA" w:rsidRPr="00DE41DA" w:rsidRDefault="00FA229E" w:rsidP="00915FC4">
            <w:pPr>
              <w:numPr>
                <w:ilvl w:val="0"/>
                <w:numId w:val="1"/>
              </w:numPr>
              <w:suppressAutoHyphens/>
              <w:spacing w:after="0" w:line="276" w:lineRule="auto"/>
              <w:ind w:left="0" w:right="425" w:firstLine="888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Galimos neigiamos priimto projekto pasekmės ir kokių priemonių reikėtų imtis, kad tokių pasekmių būtų išvengta.</w:t>
            </w:r>
          </w:p>
          <w:p w14:paraId="70D81AC2" w14:textId="2CE1C684" w:rsidR="00FA229E" w:rsidRPr="00FA229E" w:rsidRDefault="00563628" w:rsidP="00915FC4">
            <w:pPr>
              <w:tabs>
                <w:tab w:val="left" w:pos="0"/>
              </w:tabs>
              <w:suppressAutoHyphens/>
              <w:spacing w:after="0" w:line="276" w:lineRule="auto"/>
              <w:ind w:right="425" w:firstLine="888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563628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Priėmus siūlomą Savivaldybės tarybos sprendimą neigiamos pasekmės nenumatomos.</w:t>
            </w:r>
          </w:p>
        </w:tc>
      </w:tr>
      <w:tr w:rsidR="00FA229E" w:rsidRPr="00FA229E" w14:paraId="659F47F5" w14:textId="77777777" w:rsidTr="00915FC4">
        <w:tc>
          <w:tcPr>
            <w:tcW w:w="10206" w:type="dxa"/>
            <w:shd w:val="clear" w:color="auto" w:fill="auto"/>
          </w:tcPr>
          <w:p w14:paraId="420863D2" w14:textId="77777777" w:rsidR="00FA229E" w:rsidRPr="00FA229E" w:rsidRDefault="00FA229E" w:rsidP="00915FC4">
            <w:pPr>
              <w:numPr>
                <w:ilvl w:val="0"/>
                <w:numId w:val="1"/>
              </w:numPr>
              <w:tabs>
                <w:tab w:val="left" w:pos="604"/>
              </w:tabs>
              <w:suppressAutoHyphens/>
              <w:spacing w:after="0" w:line="240" w:lineRule="auto"/>
              <w:ind w:left="0" w:right="425" w:firstLine="888"/>
              <w:jc w:val="both"/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7620DBDB" w14:textId="5005CDE3" w:rsidR="00DE41DA" w:rsidRPr="00FA229E" w:rsidRDefault="00563628" w:rsidP="00915FC4">
            <w:pPr>
              <w:suppressAutoHyphens/>
              <w:spacing w:after="0" w:line="240" w:lineRule="auto"/>
              <w:ind w:right="425" w:firstLine="888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563628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lt-LT" w:bidi="hi-IN"/>
              </w:rPr>
              <w:t>Teisės aktų pakeitimų nenumatoma.</w:t>
            </w:r>
          </w:p>
        </w:tc>
      </w:tr>
      <w:tr w:rsidR="00FA229E" w:rsidRPr="00FA229E" w14:paraId="674A4BC2" w14:textId="77777777" w:rsidTr="00915FC4">
        <w:tc>
          <w:tcPr>
            <w:tcW w:w="10206" w:type="dxa"/>
            <w:shd w:val="clear" w:color="auto" w:fill="auto"/>
          </w:tcPr>
          <w:p w14:paraId="2A987552" w14:textId="77777777" w:rsidR="00FA229E" w:rsidRPr="00FA229E" w:rsidRDefault="00FA229E" w:rsidP="00915FC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right="425" w:firstLine="888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Jeigu reikia atlikti sprendimo projekto antikorupcinį vertinimą, sprendžia projekto rengėjas, atsižvelgdamas į Teisės aktų projektų antikorupcinio vertinimo taisykles</w:t>
            </w:r>
            <w:r w:rsidRPr="00FA229E">
              <w:rPr>
                <w:rFonts w:ascii="Times New Roman" w:eastAsia="SimSun;宋体" w:hAnsi="Times New Roman" w:cs="Arial"/>
                <w:b/>
                <w:bCs/>
                <w:i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76EFC44A" w14:textId="13C7247F" w:rsidR="00F20076" w:rsidRPr="00FA229E" w:rsidRDefault="00FA229E" w:rsidP="00F20076">
            <w:pPr>
              <w:tabs>
                <w:tab w:val="left" w:pos="0"/>
              </w:tabs>
              <w:suppressAutoHyphens/>
              <w:spacing w:after="0" w:line="240" w:lineRule="auto"/>
              <w:ind w:right="425" w:firstLine="888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Antikorupcinis vertinimas nereikalingas.</w:t>
            </w:r>
          </w:p>
        </w:tc>
      </w:tr>
      <w:tr w:rsidR="00FA229E" w:rsidRPr="00FA229E" w14:paraId="7D3EFEC8" w14:textId="77777777" w:rsidTr="00915FC4">
        <w:tc>
          <w:tcPr>
            <w:tcW w:w="10206" w:type="dxa"/>
            <w:shd w:val="clear" w:color="auto" w:fill="auto"/>
          </w:tcPr>
          <w:p w14:paraId="28493B80" w14:textId="5D5F6BED" w:rsidR="00FA229E" w:rsidRPr="00F20076" w:rsidRDefault="00F20076" w:rsidP="00E16F3D">
            <w:pPr>
              <w:pStyle w:val="Sraopastraipa"/>
              <w:numPr>
                <w:ilvl w:val="0"/>
                <w:numId w:val="1"/>
              </w:numPr>
              <w:tabs>
                <w:tab w:val="left" w:pos="321"/>
                <w:tab w:val="left" w:pos="746"/>
              </w:tabs>
              <w:suppressAutoHyphens/>
              <w:spacing w:after="0" w:line="240" w:lineRule="auto"/>
              <w:ind w:left="0" w:right="425" w:firstLine="888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P</w:t>
            </w:r>
            <w:r w:rsidR="00FA229E" w:rsidRPr="00F20076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roj</w:t>
            </w: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e</w:t>
            </w:r>
            <w:r w:rsidR="00FA229E" w:rsidRPr="00F20076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kt</w:t>
            </w:r>
            <w:r w:rsidR="00915FC4" w:rsidRPr="00F20076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o</w:t>
            </w:r>
            <w:r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FA229E" w:rsidRPr="00F20076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rengimo metu gauti specialistų vertinimai ir išvados, ekonominiai apskaičiavimai (sąmatos) ir konkretūs finansavimo šaltiniai.</w:t>
            </w:r>
          </w:p>
          <w:p w14:paraId="4894B04B" w14:textId="77777777" w:rsidR="00DB6FF2" w:rsidRPr="00DB6FF2" w:rsidRDefault="00DB6FF2" w:rsidP="00915FC4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right="425"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DB6FF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Sprendimui įgyvendinti lėšų nenumatyta.</w:t>
            </w:r>
          </w:p>
          <w:p w14:paraId="0B3C049E" w14:textId="77777777" w:rsidR="00DB6FF2" w:rsidRPr="00DB6FF2" w:rsidRDefault="00DB6FF2" w:rsidP="00915FC4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right="425"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DB6FF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Siekiant didinti Klaipėdos regiono pasiekiamumą ir žinomumą per tarptautinį Palangos oro</w:t>
            </w:r>
          </w:p>
          <w:p w14:paraId="36D3FA88" w14:textId="64297CC2" w:rsidR="0043012D" w:rsidRPr="00FA229E" w:rsidRDefault="00DB6FF2" w:rsidP="00915FC4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right="425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DB6FF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uostą, regiono savivaldybės jau sutarusios kartu skirti ne mažiau kaip 200 000 Eur (įgyvendinant</w:t>
            </w:r>
            <w:r w:rsidR="00F20076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2024-05-06 Jungtinės veiklos sutartį Nr. SR24-07 „Dėl Klaipėdos regiono pasiekiamumo ir</w:t>
            </w:r>
            <w:r w:rsidR="00F20076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žinomumo didinimo 2024–2026 m. programos įgyvendinimo“).</w:t>
            </w:r>
            <w:r w:rsidRPr="00DB6FF2" w:rsidDel="00DB6FF2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A229E" w:rsidRPr="00FA229E" w14:paraId="5D8963AD" w14:textId="77777777" w:rsidTr="00915FC4">
        <w:tc>
          <w:tcPr>
            <w:tcW w:w="10206" w:type="dxa"/>
            <w:shd w:val="clear" w:color="auto" w:fill="auto"/>
          </w:tcPr>
          <w:p w14:paraId="74C13484" w14:textId="2ED5D14C" w:rsidR="00FA229E" w:rsidRPr="00FA229E" w:rsidRDefault="00FA229E" w:rsidP="00E16F3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right="425" w:firstLine="888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Projekto autorius ar autorių grupė. </w:t>
            </w:r>
          </w:p>
          <w:p w14:paraId="3308A184" w14:textId="15ECBE85" w:rsidR="00FA229E" w:rsidRPr="00FA229E" w:rsidRDefault="00FA229E" w:rsidP="00915FC4">
            <w:pPr>
              <w:suppressAutoHyphens/>
              <w:spacing w:after="0" w:line="240" w:lineRule="auto"/>
              <w:ind w:right="425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 </w:t>
            </w:r>
            <w:r w:rsidRPr="00FA229E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Planavimo ir plėtros skyriaus </w:t>
            </w:r>
            <w:r w:rsidR="00CF0063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viešojo administravimo institucijos specialistė </w:t>
            </w:r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Simona </w:t>
            </w:r>
            <w:proofErr w:type="spellStart"/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Bokštaitė-Dryžienė</w:t>
            </w:r>
            <w:proofErr w:type="spellEnd"/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6D291EA4" w14:textId="77777777" w:rsidR="00FA229E" w:rsidRPr="00FA229E" w:rsidRDefault="00FA229E" w:rsidP="00915FC4">
            <w:pPr>
              <w:suppressAutoHyphens/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A229E" w:rsidRPr="00FA229E" w14:paraId="073DC4F2" w14:textId="77777777" w:rsidTr="00915FC4">
        <w:tc>
          <w:tcPr>
            <w:tcW w:w="10206" w:type="dxa"/>
            <w:shd w:val="clear" w:color="auto" w:fill="auto"/>
          </w:tcPr>
          <w:p w14:paraId="7AC1C57A" w14:textId="77777777" w:rsidR="00FA229E" w:rsidRPr="00FA229E" w:rsidRDefault="00FA229E" w:rsidP="00F20076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ind w:left="0" w:right="425" w:firstLine="888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Reikšminiai projekto žodžiai, kurių reikia šiam projektui įtraukti į kompiuterinę paieškos sistemą.</w:t>
            </w:r>
          </w:p>
          <w:p w14:paraId="03E870D8" w14:textId="0F854CF2" w:rsidR="00FB4BCF" w:rsidRPr="00FA229E" w:rsidRDefault="00FB4BCF" w:rsidP="00915FC4">
            <w:pPr>
              <w:tabs>
                <w:tab w:val="left" w:pos="720"/>
              </w:tabs>
              <w:suppressAutoHyphens/>
              <w:spacing w:after="0" w:line="240" w:lineRule="auto"/>
              <w:ind w:left="720" w:right="425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0499D6F" w14:textId="77777777" w:rsidTr="00915FC4">
        <w:trPr>
          <w:trHeight w:val="1258"/>
        </w:trPr>
        <w:tc>
          <w:tcPr>
            <w:tcW w:w="10206" w:type="dxa"/>
            <w:shd w:val="clear" w:color="auto" w:fill="auto"/>
          </w:tcPr>
          <w:p w14:paraId="67B92D69" w14:textId="77777777" w:rsidR="00FA229E" w:rsidRPr="00FA229E" w:rsidRDefault="00FA229E" w:rsidP="00E16F3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right="425" w:firstLine="888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Kiti, autorių nuomone, reikalingi pagrindimai ir paaiškinimai.</w:t>
            </w:r>
          </w:p>
          <w:p w14:paraId="064EE5D0" w14:textId="16707AA5" w:rsidR="00DB6FF2" w:rsidRDefault="00DB6FF2" w:rsidP="00E16F3D">
            <w:pPr>
              <w:tabs>
                <w:tab w:val="left" w:pos="0"/>
                <w:tab w:val="left" w:pos="576"/>
              </w:tabs>
              <w:suppressAutoHyphens/>
              <w:spacing w:after="0" w:line="240" w:lineRule="auto"/>
              <w:ind w:right="425" w:firstLine="888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2024 m. balandžio 10 d. vykusiame asociacijos „Klaipėdos regionas“ visuotiniame narių</w:t>
            </w:r>
            <w:r w:rsidR="00F20076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susirinkime buvo svarstytas klausimas dėl bendradarbiavimo susitarimo su </w:t>
            </w:r>
            <w:r w:rsidR="006D000B" w:rsidRPr="006D000B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Lietuvos Respublikos s</w:t>
            </w:r>
            <w:r w:rsidRPr="006D000B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usisiekimo ir</w:t>
            </w:r>
            <w:r w:rsidR="00F20076" w:rsidRPr="006D000B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D000B" w:rsidRPr="006D000B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Lietuvos Respublikos e</w:t>
            </w:r>
            <w:r w:rsidRPr="006D000B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konomikos ir </w:t>
            </w:r>
            <w:r w:rsidR="006D000B" w:rsidRPr="006D000B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i</w:t>
            </w:r>
            <w:r w:rsidRPr="006D000B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novacijų minister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ijomis dėl skrydžių skatinimo. Klaipėdos regiono savivaldybės</w:t>
            </w:r>
            <w:r w:rsidR="00F20076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pasisakė už susitarim</w:t>
            </w:r>
            <w:r w:rsidR="00D96D87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ą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, kuris leistų įtvirtinti ir valstybės įsipareigojimą prisidėt</w:t>
            </w:r>
            <w:r w:rsidR="00D96D87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i</w:t>
            </w:r>
            <w:r w:rsidR="00F20076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prie</w:t>
            </w:r>
            <w:r w:rsidR="00F20076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Palangos oro uosto skrydžių plėtros, o regionas turėtų galimybę gauti valstybės skrydžių</w:t>
            </w:r>
            <w:r w:rsidR="00F20076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finansavimo programos lėšas.</w:t>
            </w:r>
            <w:r w:rsidR="00F20076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Šis Susitarimas įsigaliotų jį pasirašius Susitarimo Šalims ir jį užregistravus Lietuvos</w:t>
            </w:r>
            <w:r w:rsidR="00F20076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DB6FF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Respublikos susisiekimo ministerijoje. Susitarimas galiotų iki 2026-12-31.</w:t>
            </w:r>
          </w:p>
          <w:p w14:paraId="46100982" w14:textId="4F8DF284" w:rsidR="00DB6FF2" w:rsidRPr="00FA229E" w:rsidRDefault="00DB6FF2" w:rsidP="00915FC4">
            <w:pPr>
              <w:tabs>
                <w:tab w:val="left" w:pos="0"/>
                <w:tab w:val="left" w:pos="576"/>
              </w:tabs>
              <w:suppressAutoHyphens/>
              <w:spacing w:after="0" w:line="240" w:lineRule="auto"/>
              <w:ind w:left="720" w:right="425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24783134" w14:textId="77777777" w:rsidTr="00915FC4">
        <w:trPr>
          <w:trHeight w:val="116"/>
        </w:trPr>
        <w:tc>
          <w:tcPr>
            <w:tcW w:w="10206" w:type="dxa"/>
            <w:shd w:val="clear" w:color="auto" w:fill="auto"/>
          </w:tcPr>
          <w:p w14:paraId="76E57A2A" w14:textId="77777777" w:rsidR="006F76C2" w:rsidRDefault="00FA229E" w:rsidP="00915FC4">
            <w:pPr>
              <w:tabs>
                <w:tab w:val="left" w:pos="7371"/>
                <w:tab w:val="left" w:pos="7513"/>
              </w:tabs>
              <w:suppressAutoHyphens/>
              <w:spacing w:after="0" w:line="240" w:lineRule="auto"/>
              <w:ind w:right="425"/>
              <w:jc w:val="both"/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Planavimo ir plėtros skyriaus </w:t>
            </w:r>
          </w:p>
          <w:p w14:paraId="64943312" w14:textId="500166B1" w:rsidR="00FA229E" w:rsidRPr="00FA229E" w:rsidRDefault="00FA229E" w:rsidP="00915FC4">
            <w:pPr>
              <w:tabs>
                <w:tab w:val="left" w:pos="7371"/>
                <w:tab w:val="left" w:pos="7513"/>
              </w:tabs>
              <w:suppressAutoHyphens/>
              <w:spacing w:after="0" w:line="240" w:lineRule="auto"/>
              <w:ind w:right="425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v</w:t>
            </w:r>
            <w:r w:rsidR="006F76C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iešojo administravimo institucijos specialistė</w:t>
            </w: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                        </w:t>
            </w:r>
            <w:r w:rsidR="006F76C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</w:t>
            </w:r>
            <w:r w:rsidR="00A253B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Simona </w:t>
            </w:r>
            <w:proofErr w:type="spellStart"/>
            <w:r w:rsidR="00A253B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Bokštaitė-Dryžienė</w:t>
            </w:r>
            <w:proofErr w:type="spellEnd"/>
          </w:p>
        </w:tc>
      </w:tr>
    </w:tbl>
    <w:p w14:paraId="32044E71" w14:textId="77777777" w:rsidR="00FA229E" w:rsidRPr="00FA229E" w:rsidRDefault="00FA229E" w:rsidP="00915FC4">
      <w:pPr>
        <w:suppressAutoHyphens/>
        <w:spacing w:after="0" w:line="240" w:lineRule="auto"/>
        <w:ind w:right="425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</w:p>
    <w:p w14:paraId="6A420184" w14:textId="77777777" w:rsidR="00FA229E" w:rsidRPr="00FA229E" w:rsidRDefault="00FA229E" w:rsidP="00915FC4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11533" w14:textId="77777777" w:rsidR="00FA229E" w:rsidRPr="00AC79B5" w:rsidRDefault="00FA229E" w:rsidP="00915FC4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71654" w14:textId="77777777" w:rsidR="004D77B5" w:rsidRDefault="004D77B5" w:rsidP="00915FC4">
      <w:pPr>
        <w:ind w:right="425"/>
      </w:pPr>
    </w:p>
    <w:sectPr w:rsidR="004D77B5">
      <w:headerReference w:type="first" r:id="rId7"/>
      <w:footerReference w:type="first" r:id="rId8"/>
      <w:pgSz w:w="11907" w:h="16840" w:code="9"/>
      <w:pgMar w:top="1134" w:right="567" w:bottom="1134" w:left="1701" w:header="1077" w:footer="73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23F53" w14:textId="77777777" w:rsidR="009373DE" w:rsidRDefault="009373DE">
      <w:pPr>
        <w:spacing w:after="0" w:line="240" w:lineRule="auto"/>
      </w:pPr>
      <w:r>
        <w:separator/>
      </w:r>
    </w:p>
  </w:endnote>
  <w:endnote w:type="continuationSeparator" w:id="0">
    <w:p w14:paraId="129311D9" w14:textId="77777777" w:rsidR="009373DE" w:rsidRDefault="0093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385A9" w14:textId="77777777" w:rsidR="0036508D" w:rsidRPr="00266101" w:rsidRDefault="0036508D" w:rsidP="00266101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9F627" w14:textId="77777777" w:rsidR="009373DE" w:rsidRDefault="009373DE">
      <w:pPr>
        <w:spacing w:after="0" w:line="240" w:lineRule="auto"/>
      </w:pPr>
      <w:r>
        <w:separator/>
      </w:r>
    </w:p>
  </w:footnote>
  <w:footnote w:type="continuationSeparator" w:id="0">
    <w:p w14:paraId="7DC18080" w14:textId="77777777" w:rsidR="009373DE" w:rsidRDefault="0093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FCC0" w14:textId="77777777" w:rsidR="0036508D" w:rsidRDefault="0036508D" w:rsidP="00AF1D3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2B7A"/>
    <w:multiLevelType w:val="multilevel"/>
    <w:tmpl w:val="8B1C35DE"/>
    <w:lvl w:ilvl="0">
      <w:start w:val="1"/>
      <w:numFmt w:val="decimal"/>
      <w:lvlText w:val="%1."/>
      <w:lvlJc w:val="left"/>
      <w:pPr>
        <w:ind w:left="1211" w:firstLine="851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" w15:restartNumberingAfterBreak="0">
    <w:nsid w:val="4F0003A8"/>
    <w:multiLevelType w:val="hybridMultilevel"/>
    <w:tmpl w:val="3D6CB8A0"/>
    <w:lvl w:ilvl="0" w:tplc="5FBAE100">
      <w:start w:val="1"/>
      <w:numFmt w:val="decimal"/>
      <w:lvlText w:val="%1)"/>
      <w:lvlJc w:val="left"/>
      <w:pPr>
        <w:ind w:left="1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35" w:hanging="360"/>
      </w:pPr>
    </w:lvl>
    <w:lvl w:ilvl="2" w:tplc="0427001B" w:tentative="1">
      <w:start w:val="1"/>
      <w:numFmt w:val="lowerRoman"/>
      <w:lvlText w:val="%3."/>
      <w:lvlJc w:val="right"/>
      <w:pPr>
        <w:ind w:left="2455" w:hanging="180"/>
      </w:pPr>
    </w:lvl>
    <w:lvl w:ilvl="3" w:tplc="0427000F" w:tentative="1">
      <w:start w:val="1"/>
      <w:numFmt w:val="decimal"/>
      <w:lvlText w:val="%4."/>
      <w:lvlJc w:val="left"/>
      <w:pPr>
        <w:ind w:left="3175" w:hanging="360"/>
      </w:pPr>
    </w:lvl>
    <w:lvl w:ilvl="4" w:tplc="04270019" w:tentative="1">
      <w:start w:val="1"/>
      <w:numFmt w:val="lowerLetter"/>
      <w:lvlText w:val="%5."/>
      <w:lvlJc w:val="left"/>
      <w:pPr>
        <w:ind w:left="3895" w:hanging="360"/>
      </w:pPr>
    </w:lvl>
    <w:lvl w:ilvl="5" w:tplc="0427001B" w:tentative="1">
      <w:start w:val="1"/>
      <w:numFmt w:val="lowerRoman"/>
      <w:lvlText w:val="%6."/>
      <w:lvlJc w:val="right"/>
      <w:pPr>
        <w:ind w:left="4615" w:hanging="180"/>
      </w:pPr>
    </w:lvl>
    <w:lvl w:ilvl="6" w:tplc="0427000F" w:tentative="1">
      <w:start w:val="1"/>
      <w:numFmt w:val="decimal"/>
      <w:lvlText w:val="%7."/>
      <w:lvlJc w:val="left"/>
      <w:pPr>
        <w:ind w:left="5335" w:hanging="360"/>
      </w:pPr>
    </w:lvl>
    <w:lvl w:ilvl="7" w:tplc="04270019" w:tentative="1">
      <w:start w:val="1"/>
      <w:numFmt w:val="lowerLetter"/>
      <w:lvlText w:val="%8."/>
      <w:lvlJc w:val="left"/>
      <w:pPr>
        <w:ind w:left="6055" w:hanging="360"/>
      </w:pPr>
    </w:lvl>
    <w:lvl w:ilvl="8" w:tplc="0427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53AD5EA7"/>
    <w:multiLevelType w:val="multilevel"/>
    <w:tmpl w:val="E6A2998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6975">
    <w:abstractNumId w:val="2"/>
  </w:num>
  <w:num w:numId="2" w16cid:durableId="132450592">
    <w:abstractNumId w:val="1"/>
  </w:num>
  <w:num w:numId="3" w16cid:durableId="184204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9E"/>
    <w:rsid w:val="000D26AC"/>
    <w:rsid w:val="000D631A"/>
    <w:rsid w:val="00283873"/>
    <w:rsid w:val="002C14EE"/>
    <w:rsid w:val="00303262"/>
    <w:rsid w:val="0036508D"/>
    <w:rsid w:val="003A5DEF"/>
    <w:rsid w:val="003E1657"/>
    <w:rsid w:val="003F52B2"/>
    <w:rsid w:val="003F7E9B"/>
    <w:rsid w:val="00414693"/>
    <w:rsid w:val="0043012D"/>
    <w:rsid w:val="00481090"/>
    <w:rsid w:val="004D77B5"/>
    <w:rsid w:val="005068A1"/>
    <w:rsid w:val="00563628"/>
    <w:rsid w:val="00640192"/>
    <w:rsid w:val="00645FFC"/>
    <w:rsid w:val="00655285"/>
    <w:rsid w:val="006A48CB"/>
    <w:rsid w:val="006D000B"/>
    <w:rsid w:val="006F76C2"/>
    <w:rsid w:val="00703ED7"/>
    <w:rsid w:val="0075251B"/>
    <w:rsid w:val="007736A0"/>
    <w:rsid w:val="0078348F"/>
    <w:rsid w:val="00794758"/>
    <w:rsid w:val="00795A8D"/>
    <w:rsid w:val="007C3639"/>
    <w:rsid w:val="00826CEC"/>
    <w:rsid w:val="00830033"/>
    <w:rsid w:val="008A6212"/>
    <w:rsid w:val="00915FC4"/>
    <w:rsid w:val="00933C59"/>
    <w:rsid w:val="009373DE"/>
    <w:rsid w:val="0094145B"/>
    <w:rsid w:val="00952631"/>
    <w:rsid w:val="009731BE"/>
    <w:rsid w:val="009836AF"/>
    <w:rsid w:val="009C7F18"/>
    <w:rsid w:val="009F7DF4"/>
    <w:rsid w:val="00A253BE"/>
    <w:rsid w:val="00A618FC"/>
    <w:rsid w:val="00AC79B5"/>
    <w:rsid w:val="00B07938"/>
    <w:rsid w:val="00B1527F"/>
    <w:rsid w:val="00B33EA8"/>
    <w:rsid w:val="00BA0FDE"/>
    <w:rsid w:val="00BB0F92"/>
    <w:rsid w:val="00BC0E67"/>
    <w:rsid w:val="00C23235"/>
    <w:rsid w:val="00C34085"/>
    <w:rsid w:val="00C340B8"/>
    <w:rsid w:val="00C662B5"/>
    <w:rsid w:val="00C8279F"/>
    <w:rsid w:val="00CD1604"/>
    <w:rsid w:val="00CF0063"/>
    <w:rsid w:val="00D83675"/>
    <w:rsid w:val="00D948E7"/>
    <w:rsid w:val="00D96D87"/>
    <w:rsid w:val="00DB6FF2"/>
    <w:rsid w:val="00DE41DA"/>
    <w:rsid w:val="00DF4343"/>
    <w:rsid w:val="00E002BA"/>
    <w:rsid w:val="00E13751"/>
    <w:rsid w:val="00E16F3D"/>
    <w:rsid w:val="00E311A4"/>
    <w:rsid w:val="00E43354"/>
    <w:rsid w:val="00E63956"/>
    <w:rsid w:val="00E72839"/>
    <w:rsid w:val="00EF5EC0"/>
    <w:rsid w:val="00F20076"/>
    <w:rsid w:val="00F962CB"/>
    <w:rsid w:val="00FA229E"/>
    <w:rsid w:val="00F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E0E8"/>
  <w15:chartTrackingRefBased/>
  <w15:docId w15:val="{D258C65B-4832-4182-96F3-488F9F5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A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A229E"/>
  </w:style>
  <w:style w:type="paragraph" w:styleId="Porat">
    <w:name w:val="footer"/>
    <w:basedOn w:val="prastasis"/>
    <w:link w:val="PoratDiagrama"/>
    <w:uiPriority w:val="99"/>
    <w:semiHidden/>
    <w:unhideWhenUsed/>
    <w:rsid w:val="00FA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A229E"/>
  </w:style>
  <w:style w:type="paragraph" w:styleId="Sraopastraipa">
    <w:name w:val="List Paragraph"/>
    <w:basedOn w:val="prastasis"/>
    <w:uiPriority w:val="34"/>
    <w:qFormat/>
    <w:rsid w:val="00C340B8"/>
    <w:pPr>
      <w:ind w:left="720"/>
      <w:contextualSpacing/>
    </w:pPr>
  </w:style>
  <w:style w:type="paragraph" w:styleId="Pataisymai">
    <w:name w:val="Revision"/>
    <w:hidden/>
    <w:uiPriority w:val="99"/>
    <w:semiHidden/>
    <w:rsid w:val="00795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55800A-8330-4693-970F-A7829B8DB3B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4698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Pletra_SBD</cp:lastModifiedBy>
  <cp:revision>6</cp:revision>
  <dcterms:created xsi:type="dcterms:W3CDTF">2024-08-07T05:54:00Z</dcterms:created>
  <dcterms:modified xsi:type="dcterms:W3CDTF">2024-08-08T10:26:00Z</dcterms:modified>
</cp:coreProperties>
</file>