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29758" w14:textId="77777777" w:rsidR="002D3E6F" w:rsidRDefault="00717FB2">
      <w:pPr>
        <w:jc w:val="center"/>
        <w:rPr>
          <w:b/>
          <w:caps/>
        </w:rPr>
      </w:pPr>
      <w:r>
        <w:rPr>
          <w:b/>
          <w:bCs/>
          <w:caps/>
        </w:rPr>
        <w:t>ŠILUTĖS RAJONO SAVIVALDYBĖS ADMINISTRACIJOS</w:t>
      </w:r>
    </w:p>
    <w:p w14:paraId="10B4E868" w14:textId="77777777" w:rsidR="002D3E6F" w:rsidRPr="004B2EB5" w:rsidRDefault="00717FB2">
      <w:pPr>
        <w:pStyle w:val="Antrat"/>
        <w:spacing w:before="0" w:after="0"/>
        <w:jc w:val="center"/>
        <w:rPr>
          <w:b/>
          <w:bCs/>
          <w:i w:val="0"/>
          <w:iCs w:val="0"/>
        </w:rPr>
      </w:pPr>
      <w:r w:rsidRPr="004B2EB5">
        <w:rPr>
          <w:b/>
          <w:bCs/>
          <w:i w:val="0"/>
          <w:iCs w:val="0"/>
          <w:caps/>
        </w:rPr>
        <w:t>socialinės paramos skyrius</w:t>
      </w:r>
    </w:p>
    <w:p w14:paraId="0744A4AB" w14:textId="77777777" w:rsidR="002D3E6F" w:rsidRDefault="002D3E6F">
      <w:pPr>
        <w:pStyle w:val="Pagrindinistekstas"/>
        <w:jc w:val="center"/>
        <w:rPr>
          <w:caps/>
        </w:rPr>
      </w:pPr>
    </w:p>
    <w:p w14:paraId="6F6DE127" w14:textId="77777777" w:rsidR="002D3E6F" w:rsidRDefault="00717FB2">
      <w:pPr>
        <w:pStyle w:val="Paantrat"/>
      </w:pPr>
      <w:r>
        <w:t>AIŠKINAMASIS RAŠTAS</w:t>
      </w:r>
    </w:p>
    <w:p w14:paraId="65637560" w14:textId="753DCE8C" w:rsidR="002D3E6F" w:rsidRDefault="009E48FB">
      <w:pPr>
        <w:pStyle w:val="Pagrindinistekstas"/>
        <w:spacing w:after="0"/>
        <w:jc w:val="center"/>
      </w:pPr>
      <w:r>
        <w:rPr>
          <w:rFonts w:cs="Times New Roman"/>
          <w:b/>
          <w:bCs/>
          <w:caps/>
        </w:rPr>
        <w:t xml:space="preserve">DĖL TARYBOS SPRENDIMO </w:t>
      </w:r>
      <w:r w:rsidR="007A7B2B">
        <w:rPr>
          <w:rFonts w:cs="Times New Roman"/>
          <w:b/>
          <w:bCs/>
          <w:caps/>
        </w:rPr>
        <w:t>„</w:t>
      </w:r>
      <w:r w:rsidR="007A7B2B" w:rsidRPr="007A7B2B">
        <w:rPr>
          <w:rFonts w:cs="Times New Roman"/>
          <w:b/>
          <w:bCs/>
          <w:caps/>
        </w:rPr>
        <w:t>DĖL ŠILUTĖS RAJONO SAVIVALDYBĖS BUDINČIO IR NUOLATINIO GLOBOTOJO, GLOBĖJO (RŪPINTOJO) VEIKLOS ORGANIZAVIMO IR ATLYGIO NUSTATYMO TVARKOS APRAŠO PATVIRTINIMO</w:t>
      </w:r>
      <w:r w:rsidR="007A7B2B">
        <w:rPr>
          <w:rFonts w:cs="Times New Roman"/>
          <w:b/>
          <w:bCs/>
          <w:caps/>
        </w:rPr>
        <w:t xml:space="preserve">“ PROJEKTO </w:t>
      </w:r>
    </w:p>
    <w:p w14:paraId="339AC668" w14:textId="77777777" w:rsidR="002D3E6F" w:rsidRDefault="002D3E6F">
      <w:pPr>
        <w:tabs>
          <w:tab w:val="left" w:pos="0"/>
        </w:tabs>
        <w:jc w:val="center"/>
        <w:rPr>
          <w:b/>
          <w:bCs/>
          <w:caps/>
          <w:color w:val="000000"/>
        </w:rPr>
      </w:pPr>
    </w:p>
    <w:p w14:paraId="53BA5826" w14:textId="7F05200E" w:rsidR="002D3E6F" w:rsidRDefault="00717FB2">
      <w:pPr>
        <w:tabs>
          <w:tab w:val="left" w:pos="567"/>
        </w:tabs>
        <w:jc w:val="center"/>
      </w:pPr>
      <w:r>
        <w:t>202</w:t>
      </w:r>
      <w:r w:rsidR="000F7E0F">
        <w:t>4</w:t>
      </w:r>
      <w:r>
        <w:t xml:space="preserve"> m. </w:t>
      </w:r>
      <w:r w:rsidR="00A04266">
        <w:t>rugsėjo</w:t>
      </w:r>
      <w:r w:rsidR="00037DA5">
        <w:t xml:space="preserve"> 10 </w:t>
      </w:r>
      <w:r>
        <w:t>d.</w:t>
      </w:r>
    </w:p>
    <w:p w14:paraId="2ED497E0" w14:textId="77777777" w:rsidR="002D3E6F" w:rsidRDefault="00717FB2">
      <w:pPr>
        <w:tabs>
          <w:tab w:val="left" w:pos="0"/>
        </w:tabs>
        <w:jc w:val="center"/>
      </w:pPr>
      <w:r>
        <w:t>Šilutė</w:t>
      </w:r>
    </w:p>
    <w:tbl>
      <w:tblPr>
        <w:tblW w:w="9797" w:type="dxa"/>
        <w:tblInd w:w="-51" w:type="dxa"/>
        <w:tblLayout w:type="fixed"/>
        <w:tblLook w:val="04A0" w:firstRow="1" w:lastRow="0" w:firstColumn="1" w:lastColumn="0" w:noHBand="0" w:noVBand="1"/>
      </w:tblPr>
      <w:tblGrid>
        <w:gridCol w:w="9797"/>
      </w:tblGrid>
      <w:tr w:rsidR="002D3E6F" w14:paraId="7EA84C91" w14:textId="77777777">
        <w:tc>
          <w:tcPr>
            <w:tcW w:w="9797" w:type="dxa"/>
            <w:shd w:val="clear" w:color="auto" w:fill="auto"/>
          </w:tcPr>
          <w:p w14:paraId="2CD33FB2" w14:textId="77777777" w:rsidR="002D3E6F" w:rsidRDefault="002D3E6F">
            <w:pPr>
              <w:widowControl w:val="0"/>
              <w:snapToGrid w:val="0"/>
              <w:ind w:firstLine="1134"/>
              <w:rPr>
                <w:b/>
                <w:bCs/>
                <w:i/>
                <w:iCs/>
              </w:rPr>
            </w:pPr>
          </w:p>
          <w:p w14:paraId="3F3F68E7" w14:textId="77777777" w:rsidR="002D3E6F" w:rsidRDefault="00717FB2">
            <w:pPr>
              <w:widowControl w:val="0"/>
              <w:ind w:firstLine="1134"/>
              <w:rPr>
                <w:b/>
                <w:bCs/>
                <w:i/>
                <w:iCs/>
              </w:rPr>
            </w:pPr>
            <w:r>
              <w:rPr>
                <w:b/>
                <w:bCs/>
                <w:i/>
                <w:iCs/>
              </w:rPr>
              <w:t>1. Parengto projekto tikslai ir uždaviniai.</w:t>
            </w:r>
          </w:p>
        </w:tc>
      </w:tr>
      <w:tr w:rsidR="002D3E6F" w14:paraId="1A287CF0" w14:textId="77777777">
        <w:tc>
          <w:tcPr>
            <w:tcW w:w="9797" w:type="dxa"/>
            <w:shd w:val="clear" w:color="auto" w:fill="auto"/>
          </w:tcPr>
          <w:p w14:paraId="46645ABC" w14:textId="77777777" w:rsidR="007A7B2B" w:rsidRDefault="00A04266" w:rsidP="00345F12">
            <w:pPr>
              <w:widowControl w:val="0"/>
              <w:ind w:firstLine="1134"/>
              <w:jc w:val="both"/>
            </w:pPr>
            <w:r w:rsidRPr="00A04266">
              <w:t xml:space="preserve">Tikslas – </w:t>
            </w:r>
            <w:r w:rsidR="007A7B2B">
              <w:t>patvirtinti Šilutės rajono savivaldybės budinčio ir nuolatinio globotojo, globėjo (rūpintojo) veiklos organizavimo ir atlygio nustatymo tvarkos aprašą, kad jis atitiktų LR socialinių paslaugų įstatymo Nr. X-493 pakeitimo įstatymo 23 straipsnyje numatytus reikalavimus.</w:t>
            </w:r>
          </w:p>
          <w:p w14:paraId="03C79194" w14:textId="51E48237" w:rsidR="002D3E6F" w:rsidRDefault="00A04266" w:rsidP="00345F12">
            <w:pPr>
              <w:widowControl w:val="0"/>
              <w:ind w:firstLine="1134"/>
              <w:jc w:val="both"/>
            </w:pPr>
            <w:r w:rsidRPr="001D0B52">
              <w:rPr>
                <w:color w:val="auto"/>
              </w:rPr>
              <w:t xml:space="preserve"> Uždavin</w:t>
            </w:r>
            <w:r w:rsidR="007A7B2B">
              <w:rPr>
                <w:color w:val="auto"/>
              </w:rPr>
              <w:t xml:space="preserve">iai: </w:t>
            </w:r>
            <w:r w:rsidRPr="001D0B52">
              <w:rPr>
                <w:color w:val="auto"/>
              </w:rPr>
              <w:t>įgyvendinti</w:t>
            </w:r>
            <w:r w:rsidRPr="00A04266">
              <w:t xml:space="preserve"> teisinio reguliavimo nuostatas</w:t>
            </w:r>
            <w:r w:rsidR="007A7B2B">
              <w:t>; išplėsti atlygio gavėjų subjektų skaičių, papildomai įtraukiant nuolatinį globotoją.</w:t>
            </w:r>
          </w:p>
        </w:tc>
      </w:tr>
      <w:tr w:rsidR="002D3E6F" w14:paraId="256874D0" w14:textId="77777777">
        <w:tc>
          <w:tcPr>
            <w:tcW w:w="9797" w:type="dxa"/>
            <w:shd w:val="clear" w:color="auto" w:fill="auto"/>
          </w:tcPr>
          <w:p w14:paraId="1E4DB012" w14:textId="5ACD1399" w:rsidR="002D3E6F" w:rsidRDefault="00315E13" w:rsidP="00315E13">
            <w:pPr>
              <w:widowControl w:val="0"/>
              <w:jc w:val="both"/>
              <w:rPr>
                <w:b/>
                <w:bCs/>
                <w:i/>
                <w:iCs/>
              </w:rPr>
            </w:pPr>
            <w:r>
              <w:rPr>
                <w:b/>
                <w:bCs/>
                <w:i/>
                <w:iCs/>
              </w:rPr>
              <w:t xml:space="preserve">                   2. Kaip šiuo metu yra sureguliuoti projekte aptarti klausimai.</w:t>
            </w:r>
          </w:p>
        </w:tc>
      </w:tr>
      <w:tr w:rsidR="002D3E6F" w14:paraId="5503F167" w14:textId="77777777">
        <w:tc>
          <w:tcPr>
            <w:tcW w:w="9797" w:type="dxa"/>
            <w:shd w:val="clear" w:color="auto" w:fill="auto"/>
          </w:tcPr>
          <w:p w14:paraId="6BD7E89E" w14:textId="0DA5E39A" w:rsidR="006D3B9F" w:rsidRPr="001D0B52" w:rsidRDefault="006D3B9F" w:rsidP="006D3B9F">
            <w:pPr>
              <w:widowControl w:val="0"/>
              <w:jc w:val="both"/>
            </w:pPr>
            <w:r>
              <w:t xml:space="preserve">                   Sprendimo projektas parengtas vadovaujantis LR vietos savivaldos įstatymo 15 straipsnio 2 dalies 30 punktu, LR socialinių paslaugų įstatymo 23 straipsniu. LR socialinių paslaugų įstatymas nuo 2024 m. liepos 1 d. išdėstytas nauja redakcija (toliau – įstatymas), kuris apibrėžia nuolatinio globotojo institutą, jo veiklos finansavimą. </w:t>
            </w:r>
            <w:r w:rsidR="007D3BD2">
              <w:t>Į</w:t>
            </w:r>
            <w:r>
              <w:t>statyme</w:t>
            </w:r>
            <w:r w:rsidR="007D3BD2">
              <w:t xml:space="preserve"> nurodyta, kad nuolatinis globotojas, kaip ir budinti</w:t>
            </w:r>
            <w:r w:rsidR="00037DA5">
              <w:t>s</w:t>
            </w:r>
            <w:r w:rsidR="007D3BD2">
              <w:t xml:space="preserve"> globotojas, dirba pagal individualios veiklos pažymėjimą, sudaro bendradarbiavimo sutartį su Vaiko gerovės ir globos centru, jam mokamas atlygis ne mažesnis nei nurodyta Įstatyme. Nuolatinis globotojas prižiūri likusį be tėvų globos vaiką, kuriam įstatymu nustatyta tvarka yra nustatyta nuolatinė globa (rūpyba), su kuriuo nesusiję giminystės ryšiais ir kuriam būdingas bent vienas iš šių požymių: </w:t>
            </w:r>
            <w:r w:rsidR="006501FA" w:rsidRPr="006501FA">
              <w:t>turi nesėkmingos laikinosios priežiūros, globos (rūpybos) /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mokyklos nelankymas, polinkis į savižudybę ir pan.); yra vyresnis nei 10 metų</w:t>
            </w:r>
            <w:r w:rsidR="006501FA">
              <w:t>.</w:t>
            </w:r>
            <w:r>
              <w:t xml:space="preserve"> </w:t>
            </w:r>
          </w:p>
        </w:tc>
      </w:tr>
      <w:tr w:rsidR="002D3E6F" w14:paraId="22C4CAC9" w14:textId="77777777">
        <w:tc>
          <w:tcPr>
            <w:tcW w:w="9797" w:type="dxa"/>
            <w:shd w:val="clear" w:color="auto" w:fill="auto"/>
          </w:tcPr>
          <w:p w14:paraId="1350EDF0" w14:textId="77777777" w:rsidR="002D3E6F" w:rsidRDefault="00717FB2">
            <w:pPr>
              <w:widowControl w:val="0"/>
              <w:ind w:firstLine="1134"/>
              <w:jc w:val="both"/>
              <w:rPr>
                <w:b/>
                <w:bCs/>
                <w:i/>
                <w:iCs/>
              </w:rPr>
            </w:pPr>
            <w:r>
              <w:rPr>
                <w:b/>
                <w:bCs/>
                <w:i/>
                <w:iCs/>
              </w:rPr>
              <w:t>3. Kokių pozityvių rezultatų laukiama.</w:t>
            </w:r>
          </w:p>
        </w:tc>
      </w:tr>
      <w:tr w:rsidR="002D3E6F" w14:paraId="3351A12F" w14:textId="77777777">
        <w:tc>
          <w:tcPr>
            <w:tcW w:w="9797" w:type="dxa"/>
            <w:shd w:val="clear" w:color="auto" w:fill="auto"/>
          </w:tcPr>
          <w:p w14:paraId="20BDFAF7" w14:textId="70B81763" w:rsidR="001E71D7" w:rsidRDefault="00324A1A" w:rsidP="007A070E">
            <w:pPr>
              <w:widowControl w:val="0"/>
              <w:ind w:firstLine="1134"/>
              <w:jc w:val="both"/>
            </w:pPr>
            <w:r w:rsidRPr="00324A1A">
              <w:t>Laukiamas pozityvus rezultatas – Savivaldybės tarybos sprendimas atitiks teisės aktų reikalavimus.</w:t>
            </w:r>
            <w:r>
              <w:t xml:space="preserve"> Patvirtinus sprendimo projektą bus įgyvendinama valstybės politika, kuria siekiama sistemingo ir ilgalaikio paslaugų, skatinančių ir efektyviai palaikančių globą (rūpybą) šeimos aplinkoje, vystymo. Bus mažinamas vaikų skaičius globos įstaigoje.</w:t>
            </w:r>
          </w:p>
        </w:tc>
      </w:tr>
      <w:tr w:rsidR="002D3E6F" w14:paraId="3C099285" w14:textId="77777777">
        <w:tc>
          <w:tcPr>
            <w:tcW w:w="9797" w:type="dxa"/>
            <w:shd w:val="clear" w:color="auto" w:fill="auto"/>
          </w:tcPr>
          <w:p w14:paraId="12B4C581" w14:textId="1D90F6E8" w:rsidR="002D3E6F" w:rsidRDefault="00315E13" w:rsidP="00315E13">
            <w:pPr>
              <w:widowControl w:val="0"/>
              <w:jc w:val="both"/>
              <w:rPr>
                <w:b/>
                <w:bCs/>
                <w:i/>
                <w:iCs/>
              </w:rPr>
            </w:pPr>
            <w:r>
              <w:rPr>
                <w:i/>
                <w:iCs/>
              </w:rPr>
              <w:t xml:space="preserve">                   </w:t>
            </w:r>
            <w:r>
              <w:rPr>
                <w:b/>
                <w:bCs/>
                <w:i/>
                <w:iCs/>
              </w:rPr>
              <w:t>4. Galimos neigiamos priimto projekto pasekmės ir kokių priemonių reikėtų imtis, kad tokių pasekmių būtų išvengta.</w:t>
            </w:r>
          </w:p>
        </w:tc>
      </w:tr>
      <w:tr w:rsidR="002D3E6F" w14:paraId="77748921" w14:textId="77777777">
        <w:tc>
          <w:tcPr>
            <w:tcW w:w="9797" w:type="dxa"/>
            <w:shd w:val="clear" w:color="auto" w:fill="auto"/>
          </w:tcPr>
          <w:p w14:paraId="5646DC0C" w14:textId="55342436" w:rsidR="002D3E6F" w:rsidRDefault="00717FB2">
            <w:pPr>
              <w:widowControl w:val="0"/>
              <w:ind w:firstLine="1134"/>
              <w:jc w:val="both"/>
            </w:pPr>
            <w:r>
              <w:t>N</w:t>
            </w:r>
            <w:r w:rsidR="00083ABC">
              <w:t xml:space="preserve">eigiamų pasekmių nenumatoma, kadangi šiuo metu Vaiko gerovės ir globos centro šeiminiuose namuose vieno vaiko išlaikymas kainuoja </w:t>
            </w:r>
            <w:r w:rsidR="006501FA" w:rsidRPr="006501FA">
              <w:rPr>
                <w:color w:val="auto"/>
              </w:rPr>
              <w:t>2072,26</w:t>
            </w:r>
            <w:r w:rsidR="00083ABC" w:rsidRPr="006501FA">
              <w:rPr>
                <w:color w:val="auto"/>
              </w:rPr>
              <w:t xml:space="preserve"> </w:t>
            </w:r>
            <w:r w:rsidR="00083ABC">
              <w:t>Eur/mėn</w:t>
            </w:r>
            <w:r w:rsidR="006501FA">
              <w:t>.</w:t>
            </w:r>
            <w:r w:rsidR="00083ABC">
              <w:t>, o nuolatinio globotojo atlygis už vieną prižiūrimą vaiką būtų 1848 Eur/mėn.</w:t>
            </w:r>
          </w:p>
        </w:tc>
      </w:tr>
      <w:tr w:rsidR="002D3E6F" w14:paraId="7F4FC3E7" w14:textId="77777777">
        <w:tc>
          <w:tcPr>
            <w:tcW w:w="9797" w:type="dxa"/>
            <w:shd w:val="clear" w:color="auto" w:fill="auto"/>
          </w:tcPr>
          <w:p w14:paraId="240FF139" w14:textId="1730387E" w:rsidR="002D3E6F" w:rsidRDefault="00315E13" w:rsidP="00315E13">
            <w:pPr>
              <w:widowControl w:val="0"/>
              <w:jc w:val="both"/>
              <w:rPr>
                <w:b/>
                <w:bCs/>
                <w:i/>
                <w:iCs/>
              </w:rPr>
            </w:pPr>
            <w:r>
              <w:rPr>
                <w:b/>
                <w:bCs/>
                <w:i/>
                <w:iCs/>
              </w:rPr>
              <w:t xml:space="preserve">                   5. Kokie šios srities aktai tebegalioja (pateikiamas šių aktų sąrašas) ir kokius galiojančius aktus reikės pakeisti ar panaikinti; jeigu reikia Kolegijos ar mero priimamų aktų, kas ir kada juos turėtų parengti, priėmus teikiamą projektą.</w:t>
            </w:r>
          </w:p>
          <w:p w14:paraId="2C4572BF" w14:textId="07F93061" w:rsidR="00C24877" w:rsidRPr="0043202A" w:rsidRDefault="008F4AF7" w:rsidP="008F4AF7">
            <w:pPr>
              <w:jc w:val="both"/>
            </w:pPr>
            <w:r>
              <w:t xml:space="preserve">                   </w:t>
            </w:r>
            <w:r w:rsidR="00C24877">
              <w:t>Šiuo metu galioja</w:t>
            </w:r>
            <w:r>
              <w:t xml:space="preserve"> </w:t>
            </w:r>
            <w:r w:rsidRPr="008F4AF7">
              <w:t>Šilutės rajono savivaldybės tarybos 2021 m. spalio 28 d. sprendim</w:t>
            </w:r>
            <w:r>
              <w:t>as</w:t>
            </w:r>
            <w:r w:rsidRPr="008F4AF7">
              <w:t xml:space="preserve"> Nr. T1-826 „Dėl globos centro veiklos ir vaiko budinčio globotojo vykdomos priežiūros organizavimo Šilutės rajono savivaldybėje tvarkos aprašo patvirtinimo“</w:t>
            </w:r>
            <w:r>
              <w:t xml:space="preserve">, </w:t>
            </w:r>
            <w:r>
              <w:rPr>
                <w:rFonts w:eastAsia="Times New Roman"/>
                <w:lang w:eastAsia="lt-LT"/>
              </w:rPr>
              <w:t>r</w:t>
            </w:r>
            <w:r w:rsidR="00C24877">
              <w:rPr>
                <w:rFonts w:eastAsia="Times New Roman"/>
                <w:lang w:eastAsia="lt-LT"/>
              </w:rPr>
              <w:t>eikia pripažinti</w:t>
            </w:r>
            <w:r w:rsidR="00C24877" w:rsidRPr="008F4AF7">
              <w:rPr>
                <w:rFonts w:eastAsia="Times New Roman"/>
                <w:lang w:eastAsia="lt-LT"/>
              </w:rPr>
              <w:t xml:space="preserve"> netekusiu galios </w:t>
            </w:r>
            <w:r>
              <w:rPr>
                <w:rFonts w:eastAsia="Times New Roman"/>
                <w:lang w:eastAsia="lt-LT"/>
              </w:rPr>
              <w:t>šį tarybos sprendimą</w:t>
            </w:r>
            <w:r w:rsidR="00C24877" w:rsidRPr="008F4AF7">
              <w:rPr>
                <w:rFonts w:eastAsia="Times New Roman"/>
                <w:lang w:eastAsia="lt-LT"/>
              </w:rPr>
              <w:t xml:space="preserve"> su visais jo pakeitimais.</w:t>
            </w:r>
          </w:p>
        </w:tc>
      </w:tr>
      <w:tr w:rsidR="002D3E6F" w14:paraId="63561D4D" w14:textId="77777777">
        <w:tc>
          <w:tcPr>
            <w:tcW w:w="9797" w:type="dxa"/>
            <w:shd w:val="clear" w:color="auto" w:fill="auto"/>
          </w:tcPr>
          <w:p w14:paraId="321B7B4E" w14:textId="67649250" w:rsidR="002D3E6F" w:rsidRDefault="008F4AF7" w:rsidP="008F4AF7">
            <w:pPr>
              <w:widowControl w:val="0"/>
              <w:jc w:val="both"/>
              <w:rPr>
                <w:b/>
                <w:bCs/>
                <w:i/>
                <w:iCs/>
              </w:rPr>
            </w:pPr>
            <w:r>
              <w:rPr>
                <w:b/>
                <w:bCs/>
                <w:i/>
                <w:iCs/>
              </w:rPr>
              <w:t xml:space="preserve">                  </w:t>
            </w:r>
            <w:r w:rsidR="00717FB2">
              <w:rPr>
                <w:b/>
                <w:bCs/>
                <w:i/>
                <w:iCs/>
              </w:rPr>
              <w:t>6. Jeigu reikia atlikti sprendimo projekto antikorupcinį vertinimą, sprendžia projekto rengėjas, atsižvelgdamas į Teisės aktų projektų antikorupcinio vertinimo taisykles.</w:t>
            </w:r>
          </w:p>
        </w:tc>
      </w:tr>
      <w:tr w:rsidR="002D3E6F" w14:paraId="47FECAE1" w14:textId="77777777">
        <w:tc>
          <w:tcPr>
            <w:tcW w:w="9797" w:type="dxa"/>
            <w:shd w:val="clear" w:color="auto" w:fill="auto"/>
          </w:tcPr>
          <w:p w14:paraId="79AEF520" w14:textId="5FC6AE93" w:rsidR="002D3E6F" w:rsidRPr="007E53D8" w:rsidRDefault="00717FB2">
            <w:pPr>
              <w:widowControl w:val="0"/>
              <w:snapToGrid w:val="0"/>
              <w:ind w:firstLine="1134"/>
              <w:jc w:val="both"/>
              <w:rPr>
                <w:color w:val="auto"/>
              </w:rPr>
            </w:pPr>
            <w:r w:rsidRPr="00490F94">
              <w:rPr>
                <w:color w:val="auto"/>
              </w:rPr>
              <w:lastRenderedPageBreak/>
              <w:t>Antikorupcinis vertinimas reikalingas.</w:t>
            </w:r>
          </w:p>
        </w:tc>
      </w:tr>
      <w:tr w:rsidR="002D3E6F" w14:paraId="296F205C" w14:textId="77777777">
        <w:tc>
          <w:tcPr>
            <w:tcW w:w="9797" w:type="dxa"/>
            <w:shd w:val="clear" w:color="auto" w:fill="auto"/>
          </w:tcPr>
          <w:p w14:paraId="3D24020A" w14:textId="66F263AE" w:rsidR="002D3E6F" w:rsidRDefault="0043202A" w:rsidP="0043202A">
            <w:pPr>
              <w:widowControl w:val="0"/>
              <w:jc w:val="both"/>
              <w:rPr>
                <w:b/>
                <w:bCs/>
                <w:i/>
                <w:iCs/>
              </w:rPr>
            </w:pPr>
            <w:r>
              <w:rPr>
                <w:i/>
                <w:iCs/>
              </w:rPr>
              <w:t xml:space="preserve">                   </w:t>
            </w:r>
            <w:r>
              <w:rPr>
                <w:b/>
                <w:bCs/>
                <w:i/>
                <w:iCs/>
              </w:rPr>
              <w:t>7. Projekto rengimo metu gauti specialistų vertinimai ir išvados, ekonominiai apskaičiavimai (sąmatos) ir konkretūs finansavimo šaltiniai.</w:t>
            </w:r>
          </w:p>
        </w:tc>
      </w:tr>
      <w:tr w:rsidR="002D3E6F" w14:paraId="5B015112" w14:textId="77777777">
        <w:tc>
          <w:tcPr>
            <w:tcW w:w="9797" w:type="dxa"/>
            <w:shd w:val="clear" w:color="auto" w:fill="auto"/>
          </w:tcPr>
          <w:p w14:paraId="27394463" w14:textId="6E618E3E" w:rsidR="002D3E6F" w:rsidRDefault="00996D93">
            <w:pPr>
              <w:widowControl w:val="0"/>
              <w:ind w:firstLine="1134"/>
              <w:jc w:val="both"/>
            </w:pPr>
            <w:r>
              <w:t>Vaiko gerovės ir globos centras pateikė skaičiav</w:t>
            </w:r>
            <w:r w:rsidR="009E48FB">
              <w:t>im</w:t>
            </w:r>
            <w:r>
              <w:t xml:space="preserve">us, kad </w:t>
            </w:r>
            <w:r w:rsidRPr="00996D93">
              <w:t>nuolatinio globotojo atlygis už vieną prižiūrimą vaiką būtų 1848 Eur/mėn.</w:t>
            </w:r>
            <w:r>
              <w:t xml:space="preserve"> (įstaigoje – 2072,26 Eur/mėn.), už du vaikus 2541 Eur/mėn. (įstaigoje – 4144,52 Eur/mėn.), už tris vaikus 3234 Eur mėn. (įstaigoje – 6216,78 Eur/mėn.). Išlaidos finansuojamos iš savivaldybės biudžeto lėšų.</w:t>
            </w:r>
          </w:p>
        </w:tc>
      </w:tr>
      <w:tr w:rsidR="002D3E6F" w14:paraId="6570CBEE" w14:textId="77777777">
        <w:tc>
          <w:tcPr>
            <w:tcW w:w="9797" w:type="dxa"/>
            <w:shd w:val="clear" w:color="auto" w:fill="auto"/>
          </w:tcPr>
          <w:p w14:paraId="1C8996F4" w14:textId="42B19998" w:rsidR="002D3E6F" w:rsidRDefault="00D10391" w:rsidP="00D10391">
            <w:pPr>
              <w:widowControl w:val="0"/>
              <w:jc w:val="both"/>
              <w:rPr>
                <w:b/>
                <w:bCs/>
                <w:i/>
                <w:iCs/>
              </w:rPr>
            </w:pPr>
            <w:r>
              <w:rPr>
                <w:b/>
                <w:bCs/>
                <w:i/>
                <w:iCs/>
              </w:rPr>
              <w:t xml:space="preserve">                   8. Projekto autorius ar autorių grupė.</w:t>
            </w:r>
          </w:p>
        </w:tc>
      </w:tr>
      <w:tr w:rsidR="002D3E6F" w14:paraId="7FCF80BF" w14:textId="77777777">
        <w:tc>
          <w:tcPr>
            <w:tcW w:w="9797" w:type="dxa"/>
            <w:shd w:val="clear" w:color="auto" w:fill="auto"/>
          </w:tcPr>
          <w:p w14:paraId="13174C1C" w14:textId="1C866BF3" w:rsidR="001D5E0E" w:rsidRPr="003F5A2D" w:rsidRDefault="00705807" w:rsidP="003F5A2D">
            <w:pPr>
              <w:widowControl w:val="0"/>
              <w:ind w:firstLine="1134"/>
              <w:jc w:val="both"/>
              <w:rPr>
                <w:bCs/>
                <w:iCs/>
              </w:rPr>
            </w:pPr>
            <w:r>
              <w:rPr>
                <w:bCs/>
                <w:iCs/>
              </w:rPr>
              <w:t xml:space="preserve">Socialinės paramos skyriaus vedėja Audra </w:t>
            </w:r>
            <w:proofErr w:type="spellStart"/>
            <w:r>
              <w:rPr>
                <w:bCs/>
                <w:iCs/>
              </w:rPr>
              <w:t>Barauskienė</w:t>
            </w:r>
            <w:proofErr w:type="spellEnd"/>
            <w:r>
              <w:rPr>
                <w:bCs/>
                <w:iCs/>
              </w:rPr>
              <w:t xml:space="preserve">, Socialinės paramos skyriaus </w:t>
            </w:r>
            <w:r w:rsidR="00D10391">
              <w:rPr>
                <w:bCs/>
                <w:iCs/>
              </w:rPr>
              <w:t xml:space="preserve">vyr. </w:t>
            </w:r>
            <w:r>
              <w:rPr>
                <w:bCs/>
                <w:iCs/>
              </w:rPr>
              <w:t xml:space="preserve"> specialistė Inga Užgalienė</w:t>
            </w:r>
            <w:r w:rsidR="00AF710E">
              <w:rPr>
                <w:bCs/>
                <w:iCs/>
              </w:rPr>
              <w:t xml:space="preserve">, </w:t>
            </w:r>
            <w:r w:rsidR="008305C6">
              <w:rPr>
                <w:bCs/>
                <w:iCs/>
              </w:rPr>
              <w:t xml:space="preserve">nedirbančių asmenų </w:t>
            </w:r>
            <w:r w:rsidR="00AF710E">
              <w:rPr>
                <w:bCs/>
                <w:iCs/>
              </w:rPr>
              <w:t xml:space="preserve">atvejo vadybininkė Vaida </w:t>
            </w:r>
            <w:proofErr w:type="spellStart"/>
            <w:r w:rsidR="00AF710E">
              <w:rPr>
                <w:bCs/>
                <w:iCs/>
              </w:rPr>
              <w:t>Lotužienė</w:t>
            </w:r>
            <w:proofErr w:type="spellEnd"/>
            <w:r>
              <w:rPr>
                <w:bCs/>
                <w:iCs/>
              </w:rPr>
              <w:t>.</w:t>
            </w:r>
          </w:p>
        </w:tc>
      </w:tr>
      <w:tr w:rsidR="002D3E6F" w14:paraId="6EC87126" w14:textId="77777777">
        <w:tc>
          <w:tcPr>
            <w:tcW w:w="9797" w:type="dxa"/>
            <w:shd w:val="clear" w:color="auto" w:fill="auto"/>
          </w:tcPr>
          <w:p w14:paraId="3005EFAC" w14:textId="36F772EB" w:rsidR="002D3E6F" w:rsidRDefault="003F5A2D" w:rsidP="003F5A2D">
            <w:pPr>
              <w:widowControl w:val="0"/>
              <w:jc w:val="both"/>
              <w:rPr>
                <w:b/>
                <w:bCs/>
                <w:i/>
                <w:iCs/>
              </w:rPr>
            </w:pPr>
            <w:r>
              <w:rPr>
                <w:b/>
                <w:bCs/>
                <w:i/>
                <w:iCs/>
              </w:rPr>
              <w:t xml:space="preserve">                   9. Reikšminiai projekto žodžiai, kurių reikia šiam projektui įtraukti į kompiuterinę paieškos sistemą.</w:t>
            </w:r>
          </w:p>
        </w:tc>
      </w:tr>
      <w:tr w:rsidR="002D3E6F" w14:paraId="7A4E6149" w14:textId="77777777">
        <w:tc>
          <w:tcPr>
            <w:tcW w:w="9797" w:type="dxa"/>
            <w:shd w:val="clear" w:color="auto" w:fill="auto"/>
          </w:tcPr>
          <w:p w14:paraId="1AA9AC94" w14:textId="44E2F474" w:rsidR="002D3E6F" w:rsidRDefault="00996D93">
            <w:pPr>
              <w:widowControl w:val="0"/>
              <w:ind w:firstLine="1134"/>
              <w:jc w:val="both"/>
            </w:pPr>
            <w:r>
              <w:t>Budintis globotojas, nuolatinis globotojas, Globos centras</w:t>
            </w:r>
            <w:r w:rsidR="00624EC5">
              <w:t xml:space="preserve">. </w:t>
            </w:r>
          </w:p>
        </w:tc>
      </w:tr>
      <w:tr w:rsidR="002D3E6F" w14:paraId="66C068C2" w14:textId="77777777">
        <w:tc>
          <w:tcPr>
            <w:tcW w:w="9797" w:type="dxa"/>
            <w:shd w:val="clear" w:color="auto" w:fill="auto"/>
          </w:tcPr>
          <w:p w14:paraId="424EDEA6" w14:textId="48D00F24" w:rsidR="002D3E6F" w:rsidRDefault="00624EC5" w:rsidP="00624EC5">
            <w:pPr>
              <w:widowControl w:val="0"/>
              <w:jc w:val="both"/>
              <w:rPr>
                <w:b/>
                <w:bCs/>
                <w:i/>
                <w:iCs/>
              </w:rPr>
            </w:pPr>
            <w:r>
              <w:rPr>
                <w:b/>
                <w:bCs/>
                <w:i/>
                <w:iCs/>
              </w:rPr>
              <w:t xml:space="preserve">                  10. Kiti, autorių nuomone, reikalingi pagrindimai ir paaiškinimai.</w:t>
            </w:r>
          </w:p>
        </w:tc>
      </w:tr>
      <w:tr w:rsidR="002D3E6F" w14:paraId="3C45CDB2" w14:textId="77777777">
        <w:tc>
          <w:tcPr>
            <w:tcW w:w="9797" w:type="dxa"/>
            <w:shd w:val="clear" w:color="auto" w:fill="auto"/>
          </w:tcPr>
          <w:p w14:paraId="7AD21C14" w14:textId="25F74E54" w:rsidR="00627D02" w:rsidRDefault="00C66A7F" w:rsidP="007A070E">
            <w:pPr>
              <w:widowControl w:val="0"/>
              <w:tabs>
                <w:tab w:val="left" w:pos="0"/>
              </w:tabs>
              <w:jc w:val="both"/>
            </w:pPr>
            <w:r>
              <w:t xml:space="preserve">                  </w:t>
            </w:r>
            <w:r w:rsidR="00454EFE">
              <w:t xml:space="preserve">Vaiko gerovės ir globos centras </w:t>
            </w:r>
            <w:r w:rsidR="009E48FB">
              <w:t xml:space="preserve">yra </w:t>
            </w:r>
            <w:r w:rsidR="00454EFE">
              <w:t>sudaręs Sutartis su 3 budinčiai</w:t>
            </w:r>
            <w:r w:rsidR="00037DA5">
              <w:t>s</w:t>
            </w:r>
            <w:r w:rsidR="00454EFE">
              <w:t xml:space="preserve"> globotojais, </w:t>
            </w:r>
            <w:r>
              <w:t>ši</w:t>
            </w:r>
            <w:r w:rsidR="009E48FB">
              <w:t>uo metu</w:t>
            </w:r>
            <w:r>
              <w:t xml:space="preserve"> </w:t>
            </w:r>
            <w:r w:rsidR="00454EFE">
              <w:t>1 budinčiam globotojui yra suteikiama darbingumo atkūrimo paslauga, pas vieną budi</w:t>
            </w:r>
            <w:r>
              <w:t>ntį</w:t>
            </w:r>
            <w:r w:rsidR="00454EFE">
              <w:t xml:space="preserve"> globotoją apgyvendinti du mažamečiai vaikai, vienas budintis globotojas </w:t>
            </w:r>
            <w:r w:rsidR="009E48FB">
              <w:t>šiuo metu</w:t>
            </w:r>
            <w:r w:rsidR="00454EFE">
              <w:t xml:space="preserve"> vaikų neturi.</w:t>
            </w:r>
          </w:p>
          <w:p w14:paraId="7B384811" w14:textId="450FB628" w:rsidR="00E71C90" w:rsidRDefault="00E71C90" w:rsidP="007A070E">
            <w:pPr>
              <w:widowControl w:val="0"/>
              <w:tabs>
                <w:tab w:val="left" w:pos="0"/>
              </w:tabs>
              <w:jc w:val="both"/>
            </w:pPr>
            <w:r>
              <w:t xml:space="preserve">                   </w:t>
            </w:r>
            <w:r w:rsidR="00490F94">
              <w:t>Nuo šių metų sausio 1 d. iki dabar</w:t>
            </w:r>
            <w:r>
              <w:t xml:space="preserve"> pas budinčius globotojus buvo apgyvendinti</w:t>
            </w:r>
            <w:r w:rsidR="00490F94">
              <w:t xml:space="preserve"> 8 vaikai: du vaikai buvo grąžinti į šeimą; vienam vaikui nustatyta globa Vaiko gerovės ir globos centre</w:t>
            </w:r>
            <w:r w:rsidR="00AF710E">
              <w:t>;</w:t>
            </w:r>
            <w:r w:rsidR="00490F94">
              <w:t xml:space="preserve"> </w:t>
            </w:r>
            <w:r w:rsidR="0050294E">
              <w:t>trims</w:t>
            </w:r>
            <w:r w:rsidR="00490F94">
              <w:t xml:space="preserve"> vaikams nustatyta globa šeimoje</w:t>
            </w:r>
            <w:r w:rsidR="00AF710E">
              <w:t xml:space="preserve"> ir du vaikai tebėra pas budintį globotoją</w:t>
            </w:r>
            <w:r w:rsidR="00490F94">
              <w:t>.</w:t>
            </w:r>
          </w:p>
          <w:p w14:paraId="2A4BE151" w14:textId="4542B08A" w:rsidR="00454EFE" w:rsidRDefault="00454EFE" w:rsidP="007A070E">
            <w:pPr>
              <w:widowControl w:val="0"/>
              <w:tabs>
                <w:tab w:val="left" w:pos="0"/>
              </w:tabs>
              <w:jc w:val="both"/>
            </w:pPr>
            <w:r>
              <w:t xml:space="preserve">                   Budinčio globotojo ir nuolatinio globotojo atlygi</w:t>
            </w:r>
            <w:r w:rsidR="00490F94">
              <w:t>s</w:t>
            </w:r>
            <w:r w:rsidR="00C66A7F">
              <w:t>:</w:t>
            </w:r>
          </w:p>
          <w:p w14:paraId="3FB264DB" w14:textId="77777777" w:rsidR="00454EFE" w:rsidRDefault="00454EFE" w:rsidP="007A070E">
            <w:pPr>
              <w:widowControl w:val="0"/>
              <w:tabs>
                <w:tab w:val="left" w:pos="0"/>
              </w:tabs>
              <w:jc w:val="both"/>
            </w:pPr>
          </w:p>
          <w:tbl>
            <w:tblPr>
              <w:tblStyle w:val="Lentelstinklelis"/>
              <w:tblW w:w="0" w:type="auto"/>
              <w:tblLook w:val="04A0" w:firstRow="1" w:lastRow="0" w:firstColumn="1" w:lastColumn="0" w:noHBand="0" w:noVBand="1"/>
            </w:tblPr>
            <w:tblGrid>
              <w:gridCol w:w="3190"/>
              <w:gridCol w:w="3190"/>
              <w:gridCol w:w="3191"/>
            </w:tblGrid>
            <w:tr w:rsidR="00C66A7F" w14:paraId="1BD92456" w14:textId="77777777" w:rsidTr="005648EB">
              <w:trPr>
                <w:trHeight w:val="562"/>
              </w:trPr>
              <w:tc>
                <w:tcPr>
                  <w:tcW w:w="3190" w:type="dxa"/>
                </w:tcPr>
                <w:p w14:paraId="63D849BF" w14:textId="10E62ECA" w:rsidR="00C66A7F" w:rsidRDefault="00C66A7F" w:rsidP="007A070E">
                  <w:pPr>
                    <w:widowControl w:val="0"/>
                    <w:tabs>
                      <w:tab w:val="left" w:pos="0"/>
                    </w:tabs>
                    <w:jc w:val="both"/>
                  </w:pPr>
                  <w:r w:rsidRPr="00454EFE">
                    <w:rPr>
                      <w:b/>
                      <w:bCs/>
                    </w:rPr>
                    <w:t>Budintis globotojas</w:t>
                  </w:r>
                </w:p>
              </w:tc>
              <w:tc>
                <w:tcPr>
                  <w:tcW w:w="3190" w:type="dxa"/>
                </w:tcPr>
                <w:p w14:paraId="7B922363" w14:textId="38A41720" w:rsidR="00C66A7F" w:rsidRPr="00C66A7F" w:rsidRDefault="00C66A7F" w:rsidP="00454EFE">
                  <w:pPr>
                    <w:widowControl w:val="0"/>
                    <w:tabs>
                      <w:tab w:val="left" w:pos="0"/>
                    </w:tabs>
                    <w:jc w:val="center"/>
                    <w:rPr>
                      <w:b/>
                      <w:bCs/>
                    </w:rPr>
                  </w:pPr>
                  <w:r w:rsidRPr="00C66A7F">
                    <w:rPr>
                      <w:b/>
                      <w:bCs/>
                    </w:rPr>
                    <w:t xml:space="preserve">Pagal </w:t>
                  </w:r>
                  <w:r>
                    <w:rPr>
                      <w:b/>
                      <w:bCs/>
                    </w:rPr>
                    <w:t>buvusį sprendimą</w:t>
                  </w:r>
                </w:p>
              </w:tc>
              <w:tc>
                <w:tcPr>
                  <w:tcW w:w="3191" w:type="dxa"/>
                </w:tcPr>
                <w:p w14:paraId="30648899" w14:textId="51B3547C" w:rsidR="00C66A7F" w:rsidRPr="00C66A7F" w:rsidRDefault="00C66A7F" w:rsidP="00454EFE">
                  <w:pPr>
                    <w:widowControl w:val="0"/>
                    <w:tabs>
                      <w:tab w:val="left" w:pos="0"/>
                    </w:tabs>
                    <w:jc w:val="center"/>
                    <w:rPr>
                      <w:b/>
                      <w:bCs/>
                    </w:rPr>
                  </w:pPr>
                  <w:r>
                    <w:rPr>
                      <w:b/>
                      <w:bCs/>
                    </w:rPr>
                    <w:t>Pagal naują sprendimą</w:t>
                  </w:r>
                </w:p>
              </w:tc>
            </w:tr>
            <w:tr w:rsidR="00454EFE" w14:paraId="74E2202C" w14:textId="77777777" w:rsidTr="00454EFE">
              <w:tc>
                <w:tcPr>
                  <w:tcW w:w="3190" w:type="dxa"/>
                </w:tcPr>
                <w:p w14:paraId="5ECFE7BA" w14:textId="64B928CE" w:rsidR="00454EFE" w:rsidRDefault="00454EFE" w:rsidP="007A070E">
                  <w:pPr>
                    <w:widowControl w:val="0"/>
                    <w:tabs>
                      <w:tab w:val="left" w:pos="0"/>
                    </w:tabs>
                    <w:jc w:val="both"/>
                  </w:pPr>
                  <w:r>
                    <w:t>Sudarius sutartį</w:t>
                  </w:r>
                </w:p>
              </w:tc>
              <w:tc>
                <w:tcPr>
                  <w:tcW w:w="3190" w:type="dxa"/>
                </w:tcPr>
                <w:p w14:paraId="68F9A322" w14:textId="0C8F395C" w:rsidR="00454EFE" w:rsidRDefault="00454EFE" w:rsidP="007A070E">
                  <w:pPr>
                    <w:widowControl w:val="0"/>
                    <w:tabs>
                      <w:tab w:val="left" w:pos="0"/>
                    </w:tabs>
                    <w:jc w:val="both"/>
                  </w:pPr>
                  <w:r>
                    <w:t>1MMA (924,00 Eur)</w:t>
                  </w:r>
                </w:p>
              </w:tc>
              <w:tc>
                <w:tcPr>
                  <w:tcW w:w="3191" w:type="dxa"/>
                </w:tcPr>
                <w:p w14:paraId="4BF44404" w14:textId="3BD5FA01" w:rsidR="00454EFE" w:rsidRDefault="00454EFE" w:rsidP="007A070E">
                  <w:pPr>
                    <w:widowControl w:val="0"/>
                    <w:tabs>
                      <w:tab w:val="left" w:pos="0"/>
                    </w:tabs>
                    <w:jc w:val="both"/>
                  </w:pPr>
                  <w:r>
                    <w:t>1MMM (924,00 Eur)</w:t>
                  </w:r>
                </w:p>
              </w:tc>
            </w:tr>
            <w:tr w:rsidR="00454EFE" w14:paraId="1A3C0DEB" w14:textId="77777777" w:rsidTr="00454EFE">
              <w:tc>
                <w:tcPr>
                  <w:tcW w:w="3190" w:type="dxa"/>
                </w:tcPr>
                <w:p w14:paraId="21F92635" w14:textId="79A03BD8" w:rsidR="00454EFE" w:rsidRDefault="00454EFE" w:rsidP="007A070E">
                  <w:pPr>
                    <w:widowControl w:val="0"/>
                    <w:tabs>
                      <w:tab w:val="left" w:pos="0"/>
                    </w:tabs>
                    <w:jc w:val="both"/>
                  </w:pPr>
                  <w:r>
                    <w:t xml:space="preserve">Už </w:t>
                  </w:r>
                  <w:r w:rsidR="00C66A7F">
                    <w:t xml:space="preserve">apgyvendinamą </w:t>
                  </w:r>
                  <w:r>
                    <w:t>vaiką nuo 3 metų iki 12 metų amžiaus</w:t>
                  </w:r>
                </w:p>
              </w:tc>
              <w:tc>
                <w:tcPr>
                  <w:tcW w:w="3190" w:type="dxa"/>
                </w:tcPr>
                <w:p w14:paraId="6E3B7A38" w14:textId="5248CFBF" w:rsidR="00454EFE" w:rsidRDefault="00C66A7F" w:rsidP="007A070E">
                  <w:pPr>
                    <w:widowControl w:val="0"/>
                    <w:tabs>
                      <w:tab w:val="left" w:pos="0"/>
                    </w:tabs>
                    <w:jc w:val="both"/>
                  </w:pPr>
                  <w:r>
                    <w:t>0,5 MMA (462,00 Eur)</w:t>
                  </w:r>
                </w:p>
              </w:tc>
              <w:tc>
                <w:tcPr>
                  <w:tcW w:w="3191" w:type="dxa"/>
                </w:tcPr>
                <w:p w14:paraId="7ACCB4AB" w14:textId="1D86DBC3" w:rsidR="00454EFE" w:rsidRDefault="00C66A7F" w:rsidP="007A070E">
                  <w:pPr>
                    <w:widowControl w:val="0"/>
                    <w:tabs>
                      <w:tab w:val="left" w:pos="0"/>
                    </w:tabs>
                    <w:jc w:val="both"/>
                  </w:pPr>
                  <w:r w:rsidRPr="00C66A7F">
                    <w:t>0,5 MMA (462,00 Eur)</w:t>
                  </w:r>
                </w:p>
              </w:tc>
            </w:tr>
            <w:tr w:rsidR="00454EFE" w14:paraId="00A93AE6" w14:textId="77777777" w:rsidTr="00454EFE">
              <w:tc>
                <w:tcPr>
                  <w:tcW w:w="3190" w:type="dxa"/>
                </w:tcPr>
                <w:p w14:paraId="0CEEA559" w14:textId="4CEBC310" w:rsidR="00454EFE" w:rsidRDefault="00C66A7F" w:rsidP="007A070E">
                  <w:pPr>
                    <w:widowControl w:val="0"/>
                    <w:tabs>
                      <w:tab w:val="left" w:pos="0"/>
                    </w:tabs>
                    <w:jc w:val="both"/>
                  </w:pPr>
                  <w:r>
                    <w:t>Už apgyvendinamą vaiką iki 3 metų amžiaus ar vaiką nuo 12 metų amžiaus, ar vaiką su negalia</w:t>
                  </w:r>
                </w:p>
              </w:tc>
              <w:tc>
                <w:tcPr>
                  <w:tcW w:w="3190" w:type="dxa"/>
                </w:tcPr>
                <w:p w14:paraId="3A4A0AEB" w14:textId="07A3D7EE" w:rsidR="00454EFE" w:rsidRDefault="00C66A7F" w:rsidP="007A070E">
                  <w:pPr>
                    <w:widowControl w:val="0"/>
                    <w:tabs>
                      <w:tab w:val="left" w:pos="0"/>
                    </w:tabs>
                    <w:jc w:val="both"/>
                  </w:pPr>
                  <w:r>
                    <w:t xml:space="preserve">1,0 MMA </w:t>
                  </w:r>
                  <w:r w:rsidRPr="00C66A7F">
                    <w:t>(924,00 Eur)</w:t>
                  </w:r>
                </w:p>
              </w:tc>
              <w:tc>
                <w:tcPr>
                  <w:tcW w:w="3191" w:type="dxa"/>
                </w:tcPr>
                <w:p w14:paraId="4591AD11" w14:textId="1A875D21" w:rsidR="00454EFE" w:rsidRDefault="00C66A7F" w:rsidP="007A070E">
                  <w:pPr>
                    <w:widowControl w:val="0"/>
                    <w:tabs>
                      <w:tab w:val="left" w:pos="0"/>
                    </w:tabs>
                    <w:jc w:val="both"/>
                  </w:pPr>
                  <w:r w:rsidRPr="00C66A7F">
                    <w:t>1,0 MMA (924,00 Eur)</w:t>
                  </w:r>
                </w:p>
              </w:tc>
            </w:tr>
            <w:tr w:rsidR="00454EFE" w14:paraId="1A87C3C1" w14:textId="77777777" w:rsidTr="00454EFE">
              <w:tc>
                <w:tcPr>
                  <w:tcW w:w="3190" w:type="dxa"/>
                </w:tcPr>
                <w:p w14:paraId="7745353C" w14:textId="62A3E00B" w:rsidR="00454EFE" w:rsidRPr="00C66A7F" w:rsidRDefault="00C66A7F" w:rsidP="007A070E">
                  <w:pPr>
                    <w:widowControl w:val="0"/>
                    <w:tabs>
                      <w:tab w:val="left" w:pos="0"/>
                    </w:tabs>
                    <w:jc w:val="both"/>
                    <w:rPr>
                      <w:b/>
                      <w:bCs/>
                    </w:rPr>
                  </w:pPr>
                  <w:r w:rsidRPr="00C66A7F">
                    <w:rPr>
                      <w:b/>
                      <w:bCs/>
                    </w:rPr>
                    <w:t>Nuolatinis globotojas</w:t>
                  </w:r>
                </w:p>
              </w:tc>
              <w:tc>
                <w:tcPr>
                  <w:tcW w:w="3190" w:type="dxa"/>
                </w:tcPr>
                <w:p w14:paraId="35183B08" w14:textId="77777777" w:rsidR="00454EFE" w:rsidRDefault="00454EFE" w:rsidP="007A070E">
                  <w:pPr>
                    <w:widowControl w:val="0"/>
                    <w:tabs>
                      <w:tab w:val="left" w:pos="0"/>
                    </w:tabs>
                    <w:jc w:val="both"/>
                  </w:pPr>
                </w:p>
              </w:tc>
              <w:tc>
                <w:tcPr>
                  <w:tcW w:w="3191" w:type="dxa"/>
                </w:tcPr>
                <w:p w14:paraId="7D9D6710" w14:textId="77777777" w:rsidR="00454EFE" w:rsidRDefault="00454EFE" w:rsidP="007A070E">
                  <w:pPr>
                    <w:widowControl w:val="0"/>
                    <w:tabs>
                      <w:tab w:val="left" w:pos="0"/>
                    </w:tabs>
                    <w:jc w:val="both"/>
                  </w:pPr>
                </w:p>
              </w:tc>
            </w:tr>
            <w:tr w:rsidR="00454EFE" w14:paraId="6232470E" w14:textId="77777777" w:rsidTr="00454EFE">
              <w:tc>
                <w:tcPr>
                  <w:tcW w:w="3190" w:type="dxa"/>
                </w:tcPr>
                <w:p w14:paraId="656D8F2A" w14:textId="0BA710A9" w:rsidR="00454EFE" w:rsidRDefault="009E48FB" w:rsidP="007A070E">
                  <w:pPr>
                    <w:widowControl w:val="0"/>
                    <w:tabs>
                      <w:tab w:val="left" w:pos="0"/>
                    </w:tabs>
                    <w:jc w:val="both"/>
                  </w:pPr>
                  <w:r>
                    <w:t>U</w:t>
                  </w:r>
                  <w:r w:rsidR="00C66A7F" w:rsidRPr="00C66A7F">
                    <w:t xml:space="preserve">ž vieną apgyvendintą </w:t>
                  </w:r>
                  <w:r w:rsidR="00C66A7F">
                    <w:t xml:space="preserve">Aprašo </w:t>
                  </w:r>
                  <w:r w:rsidR="00C66A7F" w:rsidRPr="00C66A7F">
                    <w:t xml:space="preserve">14 punkto reikalavimus atitinkantį vaiką </w:t>
                  </w:r>
                </w:p>
              </w:tc>
              <w:tc>
                <w:tcPr>
                  <w:tcW w:w="3190" w:type="dxa"/>
                </w:tcPr>
                <w:p w14:paraId="371A261C" w14:textId="06CBF6E7" w:rsidR="00454EFE" w:rsidRDefault="00AF710E" w:rsidP="00AF710E">
                  <w:pPr>
                    <w:widowControl w:val="0"/>
                    <w:tabs>
                      <w:tab w:val="left" w:pos="0"/>
                    </w:tabs>
                    <w:jc w:val="center"/>
                  </w:pPr>
                  <w:r>
                    <w:t>-</w:t>
                  </w:r>
                </w:p>
              </w:tc>
              <w:tc>
                <w:tcPr>
                  <w:tcW w:w="3191" w:type="dxa"/>
                </w:tcPr>
                <w:p w14:paraId="0134D093" w14:textId="57DA42F1" w:rsidR="00454EFE" w:rsidRDefault="00C66A7F" w:rsidP="007A070E">
                  <w:pPr>
                    <w:widowControl w:val="0"/>
                    <w:tabs>
                      <w:tab w:val="left" w:pos="0"/>
                    </w:tabs>
                    <w:jc w:val="both"/>
                  </w:pPr>
                  <w:r w:rsidRPr="00C66A7F">
                    <w:t>2 MMA</w:t>
                  </w:r>
                  <w:r>
                    <w:t xml:space="preserve"> (1848</w:t>
                  </w:r>
                  <w:r w:rsidR="0050294E">
                    <w:t>,00</w:t>
                  </w:r>
                  <w:r>
                    <w:t xml:space="preserve"> Eur)</w:t>
                  </w:r>
                </w:p>
              </w:tc>
            </w:tr>
            <w:tr w:rsidR="00454EFE" w14:paraId="022E58D9" w14:textId="77777777" w:rsidTr="00454EFE">
              <w:tc>
                <w:tcPr>
                  <w:tcW w:w="3190" w:type="dxa"/>
                </w:tcPr>
                <w:p w14:paraId="3DDCD202" w14:textId="0B5689BF" w:rsidR="00454EFE" w:rsidRDefault="009E48FB" w:rsidP="007A070E">
                  <w:pPr>
                    <w:widowControl w:val="0"/>
                    <w:tabs>
                      <w:tab w:val="left" w:pos="0"/>
                    </w:tabs>
                    <w:jc w:val="both"/>
                  </w:pPr>
                  <w:r>
                    <w:t>U</w:t>
                  </w:r>
                  <w:r w:rsidR="00C66A7F" w:rsidRPr="00C66A7F">
                    <w:t xml:space="preserve">ž kiekvieną apgyvendintą </w:t>
                  </w:r>
                  <w:r w:rsidR="00C66A7F">
                    <w:t xml:space="preserve">Aprašo </w:t>
                  </w:r>
                  <w:r w:rsidR="00C66A7F" w:rsidRPr="00C66A7F">
                    <w:t>14 punkto reikalavimus atitinkančio vaiko brolį ar seserį</w:t>
                  </w:r>
                </w:p>
              </w:tc>
              <w:tc>
                <w:tcPr>
                  <w:tcW w:w="3190" w:type="dxa"/>
                </w:tcPr>
                <w:p w14:paraId="5B716793" w14:textId="59CBA248" w:rsidR="00454EFE" w:rsidRDefault="00AF710E" w:rsidP="00AF710E">
                  <w:pPr>
                    <w:widowControl w:val="0"/>
                    <w:tabs>
                      <w:tab w:val="left" w:pos="0"/>
                    </w:tabs>
                    <w:jc w:val="center"/>
                  </w:pPr>
                  <w:r>
                    <w:t>-</w:t>
                  </w:r>
                </w:p>
              </w:tc>
              <w:tc>
                <w:tcPr>
                  <w:tcW w:w="3191" w:type="dxa"/>
                </w:tcPr>
                <w:p w14:paraId="289F4BDE" w14:textId="7273F53F" w:rsidR="00454EFE" w:rsidRDefault="00C66A7F" w:rsidP="007A070E">
                  <w:pPr>
                    <w:widowControl w:val="0"/>
                    <w:tabs>
                      <w:tab w:val="left" w:pos="0"/>
                    </w:tabs>
                    <w:jc w:val="both"/>
                  </w:pPr>
                  <w:r>
                    <w:t>0,75 MMA (693,00 Eur)</w:t>
                  </w:r>
                </w:p>
              </w:tc>
            </w:tr>
          </w:tbl>
          <w:p w14:paraId="3A2B3B5A" w14:textId="77777777" w:rsidR="00454EFE" w:rsidRDefault="00454EFE" w:rsidP="007A070E">
            <w:pPr>
              <w:widowControl w:val="0"/>
              <w:tabs>
                <w:tab w:val="left" w:pos="0"/>
              </w:tabs>
              <w:jc w:val="both"/>
            </w:pPr>
          </w:p>
          <w:p w14:paraId="2843F3B4" w14:textId="77777777" w:rsidR="007A070E" w:rsidRDefault="007A070E" w:rsidP="007A070E">
            <w:pPr>
              <w:widowControl w:val="0"/>
              <w:tabs>
                <w:tab w:val="left" w:pos="0"/>
              </w:tabs>
              <w:jc w:val="both"/>
            </w:pPr>
          </w:p>
          <w:p w14:paraId="76527E98" w14:textId="77777777" w:rsidR="007A070E" w:rsidRDefault="007A070E" w:rsidP="007A070E">
            <w:pPr>
              <w:widowControl w:val="0"/>
              <w:tabs>
                <w:tab w:val="left" w:pos="0"/>
              </w:tabs>
              <w:jc w:val="both"/>
            </w:pPr>
          </w:p>
          <w:p w14:paraId="15CD616E" w14:textId="77777777" w:rsidR="007A070E" w:rsidRDefault="007A070E" w:rsidP="007A070E">
            <w:pPr>
              <w:widowControl w:val="0"/>
              <w:tabs>
                <w:tab w:val="left" w:pos="0"/>
              </w:tabs>
              <w:jc w:val="both"/>
            </w:pPr>
          </w:p>
          <w:p w14:paraId="6A4A56EE" w14:textId="77777777" w:rsidR="007A070E" w:rsidRDefault="007A070E" w:rsidP="007A070E">
            <w:pPr>
              <w:widowControl w:val="0"/>
              <w:tabs>
                <w:tab w:val="left" w:pos="0"/>
              </w:tabs>
              <w:jc w:val="both"/>
            </w:pPr>
          </w:p>
          <w:p w14:paraId="34421210" w14:textId="77777777" w:rsidR="007A070E" w:rsidRDefault="007A070E" w:rsidP="007A070E">
            <w:pPr>
              <w:widowControl w:val="0"/>
              <w:tabs>
                <w:tab w:val="left" w:pos="0"/>
              </w:tabs>
              <w:jc w:val="both"/>
            </w:pPr>
          </w:p>
          <w:p w14:paraId="08263181" w14:textId="45A741B5" w:rsidR="002D3E6F" w:rsidRDefault="00717FB2" w:rsidP="00707A7C">
            <w:pPr>
              <w:widowControl w:val="0"/>
              <w:tabs>
                <w:tab w:val="left" w:pos="0"/>
              </w:tabs>
              <w:ind w:left="720"/>
              <w:jc w:val="both"/>
            </w:pPr>
            <w:r>
              <w:rPr>
                <w:rFonts w:cs="Times New Roman"/>
                <w:bCs/>
                <w:iCs/>
              </w:rPr>
              <w:t xml:space="preserve"> </w:t>
            </w:r>
          </w:p>
        </w:tc>
      </w:tr>
    </w:tbl>
    <w:p w14:paraId="5CF10978" w14:textId="6AFFD87B" w:rsidR="002D3E6F" w:rsidRDefault="00624EC5" w:rsidP="00624EC5">
      <w:pPr>
        <w:tabs>
          <w:tab w:val="left" w:pos="0"/>
        </w:tabs>
        <w:jc w:val="both"/>
        <w:rPr>
          <w:bCs/>
        </w:rPr>
      </w:pPr>
      <w:r>
        <w:rPr>
          <w:bCs/>
        </w:rPr>
        <w:t>Socialinės paramos skyriaus vyr. specialistė                                                                    Inga Užgalienė</w:t>
      </w:r>
    </w:p>
    <w:p w14:paraId="6BE9FDFC" w14:textId="77777777" w:rsidR="002D3E6F" w:rsidRDefault="002D3E6F">
      <w:pPr>
        <w:tabs>
          <w:tab w:val="left" w:pos="8833"/>
        </w:tabs>
        <w:spacing w:line="276" w:lineRule="auto"/>
        <w:ind w:firstLine="5954"/>
        <w:jc w:val="both"/>
      </w:pPr>
    </w:p>
    <w:sectPr w:rsidR="002D3E6F">
      <w:pgSz w:w="11906" w:h="16838"/>
      <w:pgMar w:top="1134" w:right="567" w:bottom="1134" w:left="1701" w:header="0" w:footer="0"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Arial Unicode M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D09C3"/>
    <w:multiLevelType w:val="multilevel"/>
    <w:tmpl w:val="7D6AA7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5616C39"/>
    <w:multiLevelType w:val="multilevel"/>
    <w:tmpl w:val="41D4E6D2"/>
    <w:lvl w:ilvl="0">
      <w:start w:val="1"/>
      <w:numFmt w:val="decimal"/>
      <w:suff w:val="space"/>
      <w:lvlText w:val="%1."/>
      <w:lvlJc w:val="left"/>
      <w:pPr>
        <w:tabs>
          <w:tab w:val="num" w:pos="0"/>
        </w:tabs>
        <w:ind w:left="1854" w:hanging="360"/>
      </w:pPr>
      <w:rPr>
        <w:b w:val="0"/>
        <w:bCs w:val="0"/>
        <w:i w:val="0"/>
        <w:iCs w:val="0"/>
        <w:color w:val="000000"/>
        <w:szCs w:val="24"/>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 w15:restartNumberingAfterBreak="0">
    <w:nsid w:val="3335475F"/>
    <w:multiLevelType w:val="multilevel"/>
    <w:tmpl w:val="9780B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6A42AB"/>
    <w:multiLevelType w:val="hybridMultilevel"/>
    <w:tmpl w:val="D36C968E"/>
    <w:lvl w:ilvl="0" w:tplc="69C8868A">
      <w:start w:val="1"/>
      <w:numFmt w:val="decimal"/>
      <w:suff w:val="space"/>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8F06D92"/>
    <w:multiLevelType w:val="multilevel"/>
    <w:tmpl w:val="A904A9D2"/>
    <w:lvl w:ilvl="0">
      <w:start w:val="1"/>
      <w:numFmt w:val="decimal"/>
      <w:suff w:val="space"/>
      <w:lvlText w:val="%1."/>
      <w:lvlJc w:val="left"/>
      <w:pPr>
        <w:tabs>
          <w:tab w:val="num" w:pos="-501"/>
        </w:tabs>
        <w:ind w:left="1353" w:hanging="360"/>
      </w:pPr>
      <w:rPr>
        <w:b w:val="0"/>
        <w:bCs w:val="0"/>
        <w:i w:val="0"/>
        <w:iCs w:val="0"/>
        <w:color w:val="000000"/>
        <w:szCs w:val="24"/>
      </w:rPr>
    </w:lvl>
    <w:lvl w:ilvl="1">
      <w:start w:val="1"/>
      <w:numFmt w:val="lowerLetter"/>
      <w:lvlText w:val="%2."/>
      <w:lvlJc w:val="left"/>
      <w:pPr>
        <w:tabs>
          <w:tab w:val="num" w:pos="-501"/>
        </w:tabs>
        <w:ind w:left="2073" w:hanging="360"/>
      </w:pPr>
    </w:lvl>
    <w:lvl w:ilvl="2">
      <w:start w:val="1"/>
      <w:numFmt w:val="lowerRoman"/>
      <w:lvlText w:val="%3."/>
      <w:lvlJc w:val="right"/>
      <w:pPr>
        <w:tabs>
          <w:tab w:val="num" w:pos="-501"/>
        </w:tabs>
        <w:ind w:left="2793" w:hanging="180"/>
      </w:pPr>
    </w:lvl>
    <w:lvl w:ilvl="3">
      <w:start w:val="1"/>
      <w:numFmt w:val="decimal"/>
      <w:lvlText w:val="%4."/>
      <w:lvlJc w:val="left"/>
      <w:pPr>
        <w:tabs>
          <w:tab w:val="num" w:pos="-501"/>
        </w:tabs>
        <w:ind w:left="3513" w:hanging="360"/>
      </w:pPr>
    </w:lvl>
    <w:lvl w:ilvl="4">
      <w:start w:val="1"/>
      <w:numFmt w:val="lowerLetter"/>
      <w:lvlText w:val="%5."/>
      <w:lvlJc w:val="left"/>
      <w:pPr>
        <w:tabs>
          <w:tab w:val="num" w:pos="-501"/>
        </w:tabs>
        <w:ind w:left="4233" w:hanging="360"/>
      </w:pPr>
    </w:lvl>
    <w:lvl w:ilvl="5">
      <w:start w:val="1"/>
      <w:numFmt w:val="lowerRoman"/>
      <w:lvlText w:val="%6."/>
      <w:lvlJc w:val="right"/>
      <w:pPr>
        <w:tabs>
          <w:tab w:val="num" w:pos="-501"/>
        </w:tabs>
        <w:ind w:left="4953" w:hanging="180"/>
      </w:pPr>
    </w:lvl>
    <w:lvl w:ilvl="6">
      <w:start w:val="1"/>
      <w:numFmt w:val="decimal"/>
      <w:lvlText w:val="%7."/>
      <w:lvlJc w:val="left"/>
      <w:pPr>
        <w:tabs>
          <w:tab w:val="num" w:pos="-501"/>
        </w:tabs>
        <w:ind w:left="5673" w:hanging="360"/>
      </w:pPr>
    </w:lvl>
    <w:lvl w:ilvl="7">
      <w:start w:val="1"/>
      <w:numFmt w:val="lowerLetter"/>
      <w:lvlText w:val="%8."/>
      <w:lvlJc w:val="left"/>
      <w:pPr>
        <w:tabs>
          <w:tab w:val="num" w:pos="-501"/>
        </w:tabs>
        <w:ind w:left="6393" w:hanging="360"/>
      </w:pPr>
    </w:lvl>
    <w:lvl w:ilvl="8">
      <w:start w:val="1"/>
      <w:numFmt w:val="lowerRoman"/>
      <w:lvlText w:val="%9."/>
      <w:lvlJc w:val="right"/>
      <w:pPr>
        <w:tabs>
          <w:tab w:val="num" w:pos="-501"/>
        </w:tabs>
        <w:ind w:left="7113" w:hanging="180"/>
      </w:pPr>
    </w:lvl>
  </w:abstractNum>
  <w:num w:numId="1" w16cid:durableId="654263734">
    <w:abstractNumId w:val="4"/>
  </w:num>
  <w:num w:numId="2" w16cid:durableId="719983632">
    <w:abstractNumId w:val="1"/>
  </w:num>
  <w:num w:numId="3" w16cid:durableId="999769877">
    <w:abstractNumId w:val="0"/>
  </w:num>
  <w:num w:numId="4" w16cid:durableId="843083001">
    <w:abstractNumId w:val="2"/>
  </w:num>
  <w:num w:numId="5" w16cid:durableId="333727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6F"/>
    <w:rsid w:val="00023D24"/>
    <w:rsid w:val="00037DA5"/>
    <w:rsid w:val="00044C15"/>
    <w:rsid w:val="00083ABC"/>
    <w:rsid w:val="000F7E0F"/>
    <w:rsid w:val="00192E24"/>
    <w:rsid w:val="001C16AE"/>
    <w:rsid w:val="001D0B52"/>
    <w:rsid w:val="001D5E0E"/>
    <w:rsid w:val="001E71D7"/>
    <w:rsid w:val="002250DE"/>
    <w:rsid w:val="0022663B"/>
    <w:rsid w:val="002D3E6F"/>
    <w:rsid w:val="002D539F"/>
    <w:rsid w:val="002F0382"/>
    <w:rsid w:val="00315E13"/>
    <w:rsid w:val="00324A1A"/>
    <w:rsid w:val="00345F12"/>
    <w:rsid w:val="003D72E2"/>
    <w:rsid w:val="003F5A2D"/>
    <w:rsid w:val="00413720"/>
    <w:rsid w:val="0043202A"/>
    <w:rsid w:val="00454EFE"/>
    <w:rsid w:val="00490F94"/>
    <w:rsid w:val="004B2EB5"/>
    <w:rsid w:val="0050294E"/>
    <w:rsid w:val="00566500"/>
    <w:rsid w:val="00600C11"/>
    <w:rsid w:val="006050F1"/>
    <w:rsid w:val="00624EC5"/>
    <w:rsid w:val="00627D02"/>
    <w:rsid w:val="006501FA"/>
    <w:rsid w:val="0069563E"/>
    <w:rsid w:val="006B342F"/>
    <w:rsid w:val="006B4857"/>
    <w:rsid w:val="006D3B9F"/>
    <w:rsid w:val="00705807"/>
    <w:rsid w:val="00707A7C"/>
    <w:rsid w:val="00717FB2"/>
    <w:rsid w:val="00764633"/>
    <w:rsid w:val="00771B17"/>
    <w:rsid w:val="007A070E"/>
    <w:rsid w:val="007A7B2B"/>
    <w:rsid w:val="007B5E24"/>
    <w:rsid w:val="007D010C"/>
    <w:rsid w:val="007D3BD2"/>
    <w:rsid w:val="007E53D8"/>
    <w:rsid w:val="008221A3"/>
    <w:rsid w:val="008305C6"/>
    <w:rsid w:val="0083515B"/>
    <w:rsid w:val="008438D1"/>
    <w:rsid w:val="00873AD0"/>
    <w:rsid w:val="00881F70"/>
    <w:rsid w:val="008B139E"/>
    <w:rsid w:val="008D21E7"/>
    <w:rsid w:val="008F4AF7"/>
    <w:rsid w:val="009173B6"/>
    <w:rsid w:val="00955C18"/>
    <w:rsid w:val="00990F08"/>
    <w:rsid w:val="009951F1"/>
    <w:rsid w:val="00996D93"/>
    <w:rsid w:val="009E48FB"/>
    <w:rsid w:val="00A00A16"/>
    <w:rsid w:val="00A04266"/>
    <w:rsid w:val="00A10C09"/>
    <w:rsid w:val="00A44AC9"/>
    <w:rsid w:val="00A711A5"/>
    <w:rsid w:val="00A84A35"/>
    <w:rsid w:val="00A95821"/>
    <w:rsid w:val="00AF1012"/>
    <w:rsid w:val="00AF710E"/>
    <w:rsid w:val="00B85D2F"/>
    <w:rsid w:val="00B912D9"/>
    <w:rsid w:val="00B9599C"/>
    <w:rsid w:val="00C023B9"/>
    <w:rsid w:val="00C24877"/>
    <w:rsid w:val="00C27CBA"/>
    <w:rsid w:val="00C66A7F"/>
    <w:rsid w:val="00CB283A"/>
    <w:rsid w:val="00CC2952"/>
    <w:rsid w:val="00D10391"/>
    <w:rsid w:val="00D6469A"/>
    <w:rsid w:val="00D91F77"/>
    <w:rsid w:val="00E71C90"/>
    <w:rsid w:val="00E875FB"/>
    <w:rsid w:val="00EA6E4F"/>
    <w:rsid w:val="00F60734"/>
    <w:rsid w:val="00FC6004"/>
    <w:rsid w:val="00FD28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6F68"/>
  <w15:docId w15:val="{9D9D570B-F0E3-4A19-AF51-1399A149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2"/>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4z0">
    <w:name w:val="WW8Num4z0"/>
    <w:qFormat/>
    <w:rPr>
      <w:b w:val="0"/>
      <w:bCs w:val="0"/>
      <w:i w:val="0"/>
      <w:iCs w:val="0"/>
      <w:color w:val="000000"/>
      <w:szCs w:val="24"/>
    </w:rPr>
  </w:style>
  <w:style w:type="character" w:customStyle="1" w:styleId="WW8Num4z1">
    <w:name w:val="WW8Num4z1"/>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WW8Num6z0">
    <w:name w:val="WW8Num6z0"/>
    <w:qFormat/>
    <w:rPr>
      <w:b w:val="0"/>
      <w:bCs w:val="0"/>
      <w:i w:val="0"/>
      <w:iCs w:val="0"/>
      <w:color w:val="000000"/>
      <w:szCs w:val="24"/>
    </w:rPr>
  </w:style>
  <w:style w:type="character" w:customStyle="1" w:styleId="WW8Num6z1">
    <w:name w:val="WW8Num6z1"/>
    <w:qFormat/>
  </w:style>
  <w:style w:type="character" w:customStyle="1" w:styleId="WW8Num7z0">
    <w:name w:val="WW8Num7z0"/>
    <w:qFormat/>
    <w:rPr>
      <w:rFonts w:ascii="Symbol" w:hAnsi="Symbol" w:cs="OpenSymbol;Arial Unicode MS"/>
      <w:szCs w:val="24"/>
    </w:rPr>
  </w:style>
  <w:style w:type="character" w:customStyle="1" w:styleId="WW8Num7z1">
    <w:name w:val="WW8Num7z1"/>
    <w:qFormat/>
    <w:rPr>
      <w:rFonts w:ascii="OpenSymbol;Arial Unicode MS" w:hAnsi="OpenSymbol;Arial Unicode MS" w:cs="OpenSymbol;Arial Unicode MS"/>
    </w:rPr>
  </w:style>
  <w:style w:type="character" w:customStyle="1" w:styleId="WW8Num5z0">
    <w:name w:val="WW8Num5z0"/>
    <w:qFormat/>
    <w:rPr>
      <w:bCs/>
      <w:iCs/>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antrat">
    <w:name w:val="Subtitle"/>
    <w:basedOn w:val="prastasis"/>
    <w:uiPriority w:val="11"/>
    <w:qFormat/>
    <w:pPr>
      <w:tabs>
        <w:tab w:val="left" w:pos="567"/>
      </w:tabs>
      <w:jc w:val="center"/>
    </w:pPr>
    <w:rPr>
      <w:b/>
      <w:bCs/>
    </w:rPr>
  </w:style>
  <w:style w:type="paragraph" w:styleId="Sraopastraipa">
    <w:name w:val="List Paragraph"/>
    <w:basedOn w:val="prastasis"/>
    <w:uiPriority w:val="34"/>
    <w:qFormat/>
    <w:pPr>
      <w:suppressAutoHyphens w:val="0"/>
      <w:ind w:left="720"/>
      <w:contextualSpacing/>
    </w:pPr>
    <w:rPr>
      <w:rFonts w:cs="Times New Roman"/>
      <w:szCs w:val="20"/>
    </w:rPr>
  </w:style>
  <w:style w:type="paragraph" w:styleId="Pagrindiniotekstotrauka3">
    <w:name w:val="Body Text Indent 3"/>
    <w:basedOn w:val="prastasis"/>
    <w:qFormat/>
    <w:pPr>
      <w:spacing w:after="120"/>
      <w:ind w:left="283"/>
    </w:pPr>
    <w:rPr>
      <w:sz w:val="16"/>
      <w:szCs w:val="16"/>
    </w:rPr>
  </w:style>
  <w:style w:type="numbering" w:customStyle="1" w:styleId="WW8Num4">
    <w:name w:val="WW8Num4"/>
    <w:qFormat/>
  </w:style>
  <w:style w:type="numbering" w:customStyle="1" w:styleId="WW8Num6">
    <w:name w:val="WW8Num6"/>
    <w:qFormat/>
  </w:style>
  <w:style w:type="numbering" w:customStyle="1" w:styleId="WW8Num7">
    <w:name w:val="WW8Num7"/>
    <w:qFormat/>
  </w:style>
  <w:style w:type="numbering" w:customStyle="1" w:styleId="WW8Num5">
    <w:name w:val="WW8Num5"/>
    <w:qFormat/>
  </w:style>
  <w:style w:type="numbering" w:customStyle="1" w:styleId="WW8Num8">
    <w:name w:val="WW8Num8"/>
    <w:qFormat/>
  </w:style>
  <w:style w:type="table" w:styleId="Lentelstinklelis">
    <w:name w:val="Table Grid"/>
    <w:basedOn w:val="prastojilentel"/>
    <w:uiPriority w:val="39"/>
    <w:rsid w:val="0045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24877"/>
    <w:pPr>
      <w:suppressAutoHyphens w:val="0"/>
    </w:pPr>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5CD8B1-101A-42F3-B87B-47399A9656A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3900</Words>
  <Characters>2223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Užgalienė</dc:creator>
  <dc:description/>
  <cp:lastModifiedBy>Inga Užgalienė</cp:lastModifiedBy>
  <cp:revision>2</cp:revision>
  <cp:lastPrinted>2024-07-29T07:33:00Z</cp:lastPrinted>
  <dcterms:created xsi:type="dcterms:W3CDTF">2024-09-23T08:16:00Z</dcterms:created>
  <dcterms:modified xsi:type="dcterms:W3CDTF">2024-09-23T08:16:00Z</dcterms:modified>
  <dc:language>lt-LT</dc:language>
</cp:coreProperties>
</file>