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10BF" w14:textId="77777777" w:rsidR="00452692" w:rsidRDefault="00452692" w:rsidP="00452692">
      <w:pPr>
        <w:pStyle w:val="Antrat1"/>
        <w:rPr>
          <w:b/>
          <w:lang w:eastAsia="lt-LT"/>
        </w:rPr>
      </w:pPr>
      <w:r>
        <w:rPr>
          <w:b/>
          <w:lang w:eastAsia="lt-LT"/>
        </w:rPr>
        <w:t>ŠILUTĖS RAJONO SAVIVALDYBĖS ADMINISTRACIJA</w:t>
      </w:r>
    </w:p>
    <w:p w14:paraId="0910A438" w14:textId="77777777" w:rsidR="00BB6D51" w:rsidRPr="00BB6D51" w:rsidRDefault="00BB6D51" w:rsidP="00BB6D51">
      <w:pPr>
        <w:pStyle w:val="Pagrindinistekstas"/>
        <w:rPr>
          <w:lang w:val="x-none" w:eastAsia="lt-LT"/>
        </w:rPr>
      </w:pPr>
    </w:p>
    <w:p w14:paraId="53834EC5" w14:textId="77777777" w:rsidR="00452692" w:rsidRDefault="00452692" w:rsidP="00452692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52141EA2" w14:textId="3A41FFFB" w:rsidR="006A55AF" w:rsidRDefault="006A55AF" w:rsidP="006A55AF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en-US"/>
        </w:rPr>
      </w:pPr>
      <w:r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DĖL ŠILUTĖS RAJONO SAVIVALDYBĖS </w:t>
      </w:r>
      <w:r>
        <w:rPr>
          <w:rFonts w:ascii="Times New Roman" w:eastAsia="Times New Roman" w:hAnsi="Times New Roman"/>
          <w:b/>
          <w:sz w:val="24"/>
          <w:szCs w:val="20"/>
          <w:lang w:val="en-US" w:eastAsia="en-US"/>
        </w:rPr>
        <w:t>TARYBOS</w:t>
      </w:r>
      <w:r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202</w:t>
      </w:r>
      <w:r w:rsidR="005C2017">
        <w:rPr>
          <w:rFonts w:ascii="Times New Roman" w:eastAsia="Times New Roman" w:hAnsi="Times New Roman"/>
          <w:b/>
          <w:sz w:val="24"/>
          <w:szCs w:val="20"/>
          <w:lang w:eastAsia="en-US"/>
        </w:rPr>
        <w:t>3</w:t>
      </w:r>
      <w:r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M. </w:t>
      </w:r>
      <w:r w:rsidR="005C2017">
        <w:rPr>
          <w:rFonts w:ascii="Times New Roman" w:eastAsia="Times New Roman" w:hAnsi="Times New Roman"/>
          <w:b/>
          <w:sz w:val="24"/>
          <w:szCs w:val="20"/>
          <w:lang w:eastAsia="en-US"/>
        </w:rPr>
        <w:t>GEGUŽĖS</w:t>
      </w:r>
      <w:r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2</w:t>
      </w:r>
      <w:r w:rsidR="005C2017">
        <w:rPr>
          <w:rFonts w:ascii="Times New Roman" w:eastAsia="Times New Roman" w:hAnsi="Times New Roman"/>
          <w:b/>
          <w:sz w:val="24"/>
          <w:szCs w:val="20"/>
          <w:lang w:eastAsia="en-US"/>
        </w:rPr>
        <w:t>5</w:t>
      </w:r>
      <w:r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D. SPRENDIMO  </w:t>
      </w:r>
      <w:r w:rsidR="00534424"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NR. </w:t>
      </w:r>
      <w:r>
        <w:rPr>
          <w:rFonts w:ascii="Times New Roman" w:eastAsia="Times New Roman" w:hAnsi="Times New Roman"/>
          <w:b/>
          <w:sz w:val="24"/>
          <w:szCs w:val="20"/>
          <w:lang w:eastAsia="en-US"/>
        </w:rPr>
        <w:t>T1-</w:t>
      </w:r>
      <w:r w:rsidR="005C2017">
        <w:rPr>
          <w:rFonts w:ascii="Times New Roman" w:eastAsia="Times New Roman" w:hAnsi="Times New Roman"/>
          <w:b/>
          <w:sz w:val="24"/>
          <w:szCs w:val="20"/>
          <w:lang w:eastAsia="en-US"/>
        </w:rPr>
        <w:t>9</w:t>
      </w:r>
      <w:r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„DĖL ŠILUTĖS RAJONO SAVIVALDYBĖS STUDENTŲ RĖMIMO PROGRAMOS TVARKOS APRAŠO PATVIRTINIMO“ P</w:t>
      </w:r>
      <w:r w:rsidR="00F02B39">
        <w:rPr>
          <w:rFonts w:ascii="Times New Roman" w:eastAsia="Times New Roman" w:hAnsi="Times New Roman"/>
          <w:b/>
          <w:sz w:val="24"/>
          <w:szCs w:val="20"/>
          <w:lang w:eastAsia="en-US"/>
        </w:rPr>
        <w:t>ROJEKTO</w:t>
      </w:r>
    </w:p>
    <w:p w14:paraId="79997952" w14:textId="77777777" w:rsidR="00452692" w:rsidRPr="0084667D" w:rsidRDefault="00452692" w:rsidP="0045269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2"/>
          <w:szCs w:val="12"/>
          <w:lang w:eastAsia="lt-LT"/>
        </w:rPr>
      </w:pPr>
    </w:p>
    <w:p w14:paraId="0FD028D1" w14:textId="13B0D9D2" w:rsidR="00452692" w:rsidRPr="0084667D" w:rsidRDefault="00452692" w:rsidP="00452692">
      <w:pPr>
        <w:spacing w:after="0" w:line="240" w:lineRule="auto"/>
        <w:jc w:val="center"/>
        <w:rPr>
          <w:sz w:val="24"/>
          <w:szCs w:val="24"/>
        </w:rPr>
      </w:pP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5C201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-0</w:t>
      </w:r>
      <w:r w:rsidR="00410F1A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84667D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410F1A">
        <w:rPr>
          <w:rFonts w:ascii="Times New Roman" w:eastAsia="Times New Roman" w:hAnsi="Times New Roman"/>
          <w:sz w:val="24"/>
          <w:szCs w:val="24"/>
          <w:lang w:eastAsia="lt-LT"/>
        </w:rPr>
        <w:t>09</w:t>
      </w:r>
    </w:p>
    <w:p w14:paraId="3FBA8E4D" w14:textId="77777777" w:rsidR="00452692" w:rsidRDefault="00452692" w:rsidP="004526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667D">
        <w:rPr>
          <w:rFonts w:ascii="Times New Roman" w:hAnsi="Times New Roman"/>
          <w:sz w:val="24"/>
          <w:szCs w:val="24"/>
        </w:rPr>
        <w:t>Šilutė</w:t>
      </w:r>
    </w:p>
    <w:p w14:paraId="72F1F889" w14:textId="77777777" w:rsidR="00452692" w:rsidRDefault="00452692" w:rsidP="004526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628"/>
      </w:tblGrid>
      <w:tr w:rsidR="00452692" w:rsidRPr="00FA2934" w14:paraId="5AC3391E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D8946F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1. Parengto projekto tikslai ir uždaviniai.</w:t>
            </w:r>
          </w:p>
        </w:tc>
      </w:tr>
      <w:tr w:rsidR="00452692" w:rsidRPr="00FA2934" w14:paraId="72FC0E20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732917" w14:textId="1106092B" w:rsidR="00452692" w:rsidRPr="00FA2934" w:rsidRDefault="006A55AF" w:rsidP="008227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>Pakeisti Šilutės rajono savivaldybės 202</w:t>
            </w:r>
            <w:r w:rsidR="005C2017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m. </w:t>
            </w:r>
            <w:r w:rsidR="005C2017">
              <w:rPr>
                <w:rFonts w:ascii="Times New Roman" w:hAnsi="Times New Roman"/>
                <w:sz w:val="24"/>
                <w:szCs w:val="24"/>
                <w:lang w:eastAsia="lt-LT"/>
              </w:rPr>
              <w:t>gegužės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</w:t>
            </w:r>
            <w:r w:rsidR="00602015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d. sprendim</w:t>
            </w:r>
            <w:r w:rsidR="007E05DA">
              <w:rPr>
                <w:rFonts w:ascii="Times New Roman" w:hAnsi="Times New Roman"/>
                <w:sz w:val="24"/>
                <w:szCs w:val="24"/>
                <w:lang w:eastAsia="lt-LT"/>
              </w:rPr>
              <w:t>o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53442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Nr. 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>T1-</w:t>
            </w:r>
            <w:r w:rsidR="00602015">
              <w:rPr>
                <w:rFonts w:ascii="Times New Roman" w:hAnsi="Times New Roman"/>
                <w:sz w:val="24"/>
                <w:szCs w:val="24"/>
                <w:lang w:eastAsia="lt-LT"/>
              </w:rPr>
              <w:t>9</w:t>
            </w:r>
            <w:r w:rsidRPr="00FA293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„Šilutės rajono savivaldybės studentų rėmimo programos tvarkos aprašo patvirtinimo“ 1</w:t>
            </w:r>
            <w:r w:rsidR="00410F1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4, </w:t>
            </w:r>
            <w:r w:rsidR="00602015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410F1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7 ir 18 punktus. Papildyti 1 priedą. </w:t>
            </w:r>
          </w:p>
        </w:tc>
      </w:tr>
      <w:tr w:rsidR="00452692" w:rsidRPr="00FA2934" w14:paraId="63BD8273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B6D95C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2. Kaip šiuo metu yra sureguliuoti projekte aptarti klausimai.</w:t>
            </w:r>
          </w:p>
        </w:tc>
      </w:tr>
      <w:tr w:rsidR="00452692" w:rsidRPr="00FA2934" w14:paraId="40BBBC74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8CED8" w14:textId="77777777" w:rsidR="00BB673B" w:rsidRDefault="006A55AF" w:rsidP="005C2017">
            <w:pPr>
              <w:suppressAutoHyphens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6A55A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Sprendimo projektas parengtas vadovaujantis </w:t>
            </w:r>
            <w:r w:rsidR="005C2017" w:rsidRPr="005C2017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Vietos savivaldos įstatymo 15 straipsnio 2 dalies 14 punktu</w:t>
            </w:r>
            <w:r w:rsidR="005C2017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.</w:t>
            </w:r>
          </w:p>
          <w:p w14:paraId="5298888F" w14:textId="02F0EC88" w:rsidR="00B46484" w:rsidRPr="00FA2934" w:rsidRDefault="00410F1A" w:rsidP="005C2017">
            <w:pPr>
              <w:suppressAutoHyphens w:val="0"/>
              <w:spacing w:after="0" w:line="254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Atsižvelgiant į pedagogų trūkumą  nuspręsta finansuoti pedagogo kvalifik</w:t>
            </w:r>
            <w:r w:rsidR="0053442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a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cijos įg</w:t>
            </w:r>
            <w:r w:rsidR="0053442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jimą. </w:t>
            </w:r>
            <w:r w:rsidR="009052C2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Pedagogo kvalifikaciją teik</w:t>
            </w:r>
            <w:r w:rsidR="00534424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ia</w:t>
            </w:r>
            <w:r w:rsidR="009052C2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nti studijų programa skirta asmenims, neturintiems pedagoginio pasirengimo, tačiau dirbantiems ar ketinantiems dirbti bendrojo lavinimo mokyklose, gimnazijose, kolegijose, profesinėse mokyklose. </w:t>
            </w:r>
            <w:r w:rsidR="00472DE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Atitinkamai keičiami studentų rėmimo programos aprašo 1, 4 </w:t>
            </w:r>
            <w:r w:rsidR="00602015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1</w:t>
            </w:r>
            <w:r w:rsidR="00472DE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7 ir 18 punktai. </w:t>
            </w:r>
            <w:r w:rsidR="000B4A1A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Taip pat papildomas 1 priedas. </w:t>
            </w:r>
          </w:p>
        </w:tc>
      </w:tr>
      <w:tr w:rsidR="00452692" w:rsidRPr="00FA2934" w14:paraId="202B9C00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397432" w14:textId="77777777" w:rsidR="00452692" w:rsidRPr="00FA2934" w:rsidRDefault="00452692" w:rsidP="008227D4">
            <w:pPr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52692" w:rsidRPr="00FA2934" w14:paraId="2BBD05B7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0C6CF7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3. Kokių pozityvių rezultatų laukiama.</w:t>
            </w:r>
          </w:p>
        </w:tc>
      </w:tr>
      <w:tr w:rsidR="00452692" w:rsidRPr="00FA2934" w14:paraId="1038CD7C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109FC" w14:textId="6FAEDBD2" w:rsidR="00452692" w:rsidRPr="00FA2934" w:rsidRDefault="009052C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Tikim</w:t>
            </w:r>
            <w:r w:rsidR="00534424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si sumažinti pedagogų trūkumą Šilutės rajono savivaldybėje. </w:t>
            </w:r>
            <w:r w:rsidR="005C20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2692" w:rsidRPr="00FA2934" w14:paraId="39C0FC1C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2FC5B7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4. Galimos neigiamos priimto projekto pasekmės ir kokių priemonių reikėtų imtis, kad tokių pasekmių būtų išvengta.</w:t>
            </w:r>
          </w:p>
        </w:tc>
      </w:tr>
      <w:tr w:rsidR="00452692" w:rsidRPr="00FA2934" w14:paraId="4E75FE50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4971D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452692" w:rsidRPr="00FA2934" w14:paraId="5DBBC939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AA278B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55CDC0E7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2385B9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452692" w:rsidRPr="00FA2934" w14:paraId="0FCD7794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E4EAF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452692" w:rsidRPr="00FA2934" w14:paraId="0701C071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7120BC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637004FA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4050FE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452692" w:rsidRPr="00FA2934" w14:paraId="36EC50CA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BC974" w14:textId="052CE93B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Antikorupci</w:t>
            </w:r>
            <w:r w:rsidR="006A55AF" w:rsidRPr="00FA2934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5C2017">
              <w:rPr>
                <w:rFonts w:ascii="Times New Roman" w:eastAsia="Times New Roman" w:hAnsi="Times New Roman"/>
                <w:sz w:val="24"/>
                <w:szCs w:val="24"/>
              </w:rPr>
              <w:t>is vertinimas nereikalingas</w:t>
            </w:r>
          </w:p>
        </w:tc>
      </w:tr>
      <w:tr w:rsidR="00452692" w:rsidRPr="00FA2934" w14:paraId="279B27E1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E43392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20CBDB7A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55B34A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452692" w:rsidRPr="00FA2934" w14:paraId="3632B159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F96A2" w14:textId="4592FBB8" w:rsidR="00BB673B" w:rsidRPr="00FA2934" w:rsidRDefault="006A55AF" w:rsidP="00BB673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Nėra.</w:t>
            </w:r>
          </w:p>
        </w:tc>
      </w:tr>
      <w:tr w:rsidR="00452692" w:rsidRPr="00FA2934" w14:paraId="6047D19F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CA7DC5" w14:textId="77777777" w:rsidR="00452692" w:rsidRPr="00FA2934" w:rsidRDefault="00452692" w:rsidP="00BB673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76928F14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419F8C" w14:textId="77777777" w:rsidR="00452692" w:rsidRPr="00FA2934" w:rsidRDefault="00452692" w:rsidP="00BB673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8. Projekto autorius ar autorių grupė.</w:t>
            </w:r>
          </w:p>
        </w:tc>
      </w:tr>
      <w:tr w:rsidR="00452692" w:rsidRPr="00FA2934" w14:paraId="4CD83E11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87EE92" w14:textId="02B4913F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Šilutės rajono savivaldybės administracijos vyriausioji specialistė </w:t>
            </w:r>
            <w:r w:rsidR="005C20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Rimantė </w:t>
            </w:r>
            <w:proofErr w:type="spellStart"/>
            <w:r w:rsidR="005C201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Čiutienė</w:t>
            </w:r>
            <w:proofErr w:type="spellEnd"/>
          </w:p>
        </w:tc>
      </w:tr>
      <w:tr w:rsidR="00452692" w:rsidRPr="00FA2934" w14:paraId="74F3B729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D1E2BA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9. Reikšminiai projekto žodžiai, kurių reikia šiam projektui įtraukti į kompiuterinę paieškos sistemą.</w:t>
            </w:r>
          </w:p>
        </w:tc>
      </w:tr>
      <w:tr w:rsidR="00452692" w:rsidRPr="00FA2934" w14:paraId="0EFF1E9D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68592" w14:textId="2992264B" w:rsidR="00452692" w:rsidRPr="00FA2934" w:rsidRDefault="006A55AF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Šilutės rajono savivaldybės studentų rėmimo programa.</w:t>
            </w:r>
          </w:p>
        </w:tc>
      </w:tr>
      <w:tr w:rsidR="00452692" w:rsidRPr="00FA2934" w14:paraId="5A7C6633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462814" w14:textId="77777777" w:rsidR="00452692" w:rsidRPr="00FA2934" w:rsidRDefault="00452692" w:rsidP="008227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2692" w:rsidRPr="00FA2934" w14:paraId="7A09BA81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6991C2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10. Kiti, autorių nuomone, reikalingi pagrindimai ir paaiškinimai.</w:t>
            </w:r>
          </w:p>
        </w:tc>
      </w:tr>
      <w:tr w:rsidR="00452692" w:rsidRPr="00FA2934" w14:paraId="09DCB7DB" w14:textId="77777777" w:rsidTr="008227D4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4F0F4" w14:textId="77777777" w:rsidR="00452692" w:rsidRPr="00FA2934" w:rsidRDefault="00452692" w:rsidP="008227D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A2934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</w:tbl>
    <w:p w14:paraId="7385FFA8" w14:textId="77777777" w:rsidR="00452692" w:rsidRPr="0084667D" w:rsidRDefault="00452692" w:rsidP="004526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ADCB96" w14:textId="77777777" w:rsidR="00452692" w:rsidRDefault="00452692" w:rsidP="004526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4682791" w14:textId="39A7EA45" w:rsidR="00452692" w:rsidRPr="00DE7AC4" w:rsidRDefault="00452692" w:rsidP="00452692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Šilutės rajono </w:t>
      </w:r>
      <w:r w:rsidRPr="00F91E10">
        <w:rPr>
          <w:rFonts w:ascii="Times New Roman" w:eastAsia="Times New Roman" w:hAnsi="Times New Roman"/>
          <w:sz w:val="24"/>
          <w:szCs w:val="24"/>
          <w:lang w:eastAsia="lt-LT"/>
        </w:rPr>
        <w:t>savivaldybės administracijos vyriausioji specialistė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C2017">
        <w:rPr>
          <w:rFonts w:ascii="Times New Roman" w:eastAsia="Times New Roman" w:hAnsi="Times New Roman"/>
          <w:sz w:val="24"/>
          <w:szCs w:val="24"/>
          <w:lang w:eastAsia="lt-LT"/>
        </w:rPr>
        <w:t xml:space="preserve">Rimantė </w:t>
      </w:r>
      <w:proofErr w:type="spellStart"/>
      <w:r w:rsidR="005C2017">
        <w:rPr>
          <w:rFonts w:ascii="Times New Roman" w:eastAsia="Times New Roman" w:hAnsi="Times New Roman"/>
          <w:sz w:val="24"/>
          <w:szCs w:val="24"/>
          <w:lang w:eastAsia="lt-LT"/>
        </w:rPr>
        <w:t>Čiutienė</w:t>
      </w:r>
      <w:proofErr w:type="spellEnd"/>
    </w:p>
    <w:p w14:paraId="2AC292B6" w14:textId="77777777" w:rsidR="00452692" w:rsidRDefault="00452692" w:rsidP="00452692">
      <w:pPr>
        <w:spacing w:after="0" w:line="240" w:lineRule="auto"/>
        <w:ind w:right="181"/>
      </w:pPr>
    </w:p>
    <w:p w14:paraId="6FAA5F11" w14:textId="77777777" w:rsidR="00C60AAF" w:rsidRPr="00452692" w:rsidRDefault="00C60AAF" w:rsidP="00452692"/>
    <w:sectPr w:rsidR="00C60AAF" w:rsidRPr="00452692" w:rsidSect="004D172E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24EC5" w14:textId="77777777" w:rsidR="00AF7BC4" w:rsidRDefault="00AF7BC4">
      <w:pPr>
        <w:spacing w:after="0" w:line="240" w:lineRule="auto"/>
      </w:pPr>
      <w:r>
        <w:separator/>
      </w:r>
    </w:p>
  </w:endnote>
  <w:endnote w:type="continuationSeparator" w:id="0">
    <w:p w14:paraId="7D498CCF" w14:textId="77777777" w:rsidR="00AF7BC4" w:rsidRDefault="00AF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6ED5E" w14:textId="77777777" w:rsidR="002A09AE" w:rsidRDefault="002A09AE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C8E2" w14:textId="77777777" w:rsidR="002A09AE" w:rsidRPr="000E612A" w:rsidRDefault="002A09AE" w:rsidP="00505770">
    <w:pPr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FDF83" w14:textId="77777777" w:rsidR="00AF7BC4" w:rsidRDefault="00AF7BC4">
      <w:pPr>
        <w:spacing w:after="0" w:line="240" w:lineRule="auto"/>
      </w:pPr>
      <w:r>
        <w:separator/>
      </w:r>
    </w:p>
  </w:footnote>
  <w:footnote w:type="continuationSeparator" w:id="0">
    <w:p w14:paraId="635C7E7F" w14:textId="77777777" w:rsidR="00AF7BC4" w:rsidRDefault="00AF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0E056" w14:textId="77777777" w:rsidR="002A09AE" w:rsidRDefault="002A09AE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A2"/>
    <w:rsid w:val="00030AE9"/>
    <w:rsid w:val="00065156"/>
    <w:rsid w:val="00085D44"/>
    <w:rsid w:val="00086BC0"/>
    <w:rsid w:val="000B4A1A"/>
    <w:rsid w:val="000C3E24"/>
    <w:rsid w:val="000D10A2"/>
    <w:rsid w:val="000F4737"/>
    <w:rsid w:val="00172EC0"/>
    <w:rsid w:val="001869CA"/>
    <w:rsid w:val="00200A1D"/>
    <w:rsid w:val="002309A4"/>
    <w:rsid w:val="002A09AE"/>
    <w:rsid w:val="002A39BD"/>
    <w:rsid w:val="002E6D76"/>
    <w:rsid w:val="002F5EA0"/>
    <w:rsid w:val="00331C2C"/>
    <w:rsid w:val="003353FB"/>
    <w:rsid w:val="00364E71"/>
    <w:rsid w:val="003A5595"/>
    <w:rsid w:val="003F1604"/>
    <w:rsid w:val="00410F1A"/>
    <w:rsid w:val="0044147C"/>
    <w:rsid w:val="00452692"/>
    <w:rsid w:val="00472DE1"/>
    <w:rsid w:val="00475700"/>
    <w:rsid w:val="00486B93"/>
    <w:rsid w:val="004A7D9F"/>
    <w:rsid w:val="004C1654"/>
    <w:rsid w:val="004D172E"/>
    <w:rsid w:val="004D6C02"/>
    <w:rsid w:val="004F214C"/>
    <w:rsid w:val="0050270B"/>
    <w:rsid w:val="00515CAE"/>
    <w:rsid w:val="00534424"/>
    <w:rsid w:val="00541439"/>
    <w:rsid w:val="00573155"/>
    <w:rsid w:val="005C2017"/>
    <w:rsid w:val="00602015"/>
    <w:rsid w:val="00676CF9"/>
    <w:rsid w:val="006A55AF"/>
    <w:rsid w:val="00714213"/>
    <w:rsid w:val="007A472A"/>
    <w:rsid w:val="007E05DA"/>
    <w:rsid w:val="007E1163"/>
    <w:rsid w:val="007F383B"/>
    <w:rsid w:val="00806F10"/>
    <w:rsid w:val="0082074C"/>
    <w:rsid w:val="0085422A"/>
    <w:rsid w:val="008A0E5F"/>
    <w:rsid w:val="008C2F6D"/>
    <w:rsid w:val="009018F4"/>
    <w:rsid w:val="009052C2"/>
    <w:rsid w:val="009102F4"/>
    <w:rsid w:val="00946D6D"/>
    <w:rsid w:val="00965378"/>
    <w:rsid w:val="00995B78"/>
    <w:rsid w:val="009F3229"/>
    <w:rsid w:val="00A338D2"/>
    <w:rsid w:val="00A8540F"/>
    <w:rsid w:val="00AB6CCD"/>
    <w:rsid w:val="00AD076A"/>
    <w:rsid w:val="00AF7BC4"/>
    <w:rsid w:val="00B46484"/>
    <w:rsid w:val="00BB673B"/>
    <w:rsid w:val="00BB6D51"/>
    <w:rsid w:val="00BE6556"/>
    <w:rsid w:val="00BF0579"/>
    <w:rsid w:val="00C60AAF"/>
    <w:rsid w:val="00D3119C"/>
    <w:rsid w:val="00D37CC3"/>
    <w:rsid w:val="00D619EE"/>
    <w:rsid w:val="00D76E24"/>
    <w:rsid w:val="00DF04CD"/>
    <w:rsid w:val="00E47A11"/>
    <w:rsid w:val="00E8347A"/>
    <w:rsid w:val="00F02B39"/>
    <w:rsid w:val="00F059A5"/>
    <w:rsid w:val="00F40280"/>
    <w:rsid w:val="00F8200E"/>
    <w:rsid w:val="00FA2934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7EED"/>
  <w15:chartTrackingRefBased/>
  <w15:docId w15:val="{29065E83-EDB7-4C6E-B075-9FD2EE01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47A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E8347A"/>
    <w:pPr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8347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8347A"/>
    <w:rPr>
      <w:rFonts w:ascii="Calibri" w:eastAsia="Calibri" w:hAnsi="Calibri" w:cs="Times New Roman"/>
      <w:lang w:eastAsia="zh-CN"/>
    </w:rPr>
  </w:style>
  <w:style w:type="paragraph" w:styleId="Pataisymai">
    <w:name w:val="Revision"/>
    <w:hidden/>
    <w:uiPriority w:val="99"/>
    <w:semiHidden/>
    <w:rsid w:val="00331C2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16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16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C1654"/>
    <w:rPr>
      <w:rFonts w:ascii="Calibri" w:eastAsia="Calibri" w:hAnsi="Calibri" w:cs="Times New Roman"/>
      <w:sz w:val="20"/>
      <w:szCs w:val="2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16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1654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F48B5D-FAA1-4877-9E3E-42FBB7B0908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Asta Jagelavičienė</cp:lastModifiedBy>
  <cp:revision>11</cp:revision>
  <dcterms:created xsi:type="dcterms:W3CDTF">2024-04-11T06:46:00Z</dcterms:created>
  <dcterms:modified xsi:type="dcterms:W3CDTF">2024-09-10T12:11:00Z</dcterms:modified>
</cp:coreProperties>
</file>