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E4DE99A" w:rsidR="00C62447" w:rsidRDefault="00FA4CC2" w:rsidP="00DD1F44">
      <w:pPr>
        <w:pStyle w:val="Pavadinimas"/>
      </w:pPr>
      <w:r>
        <w:t>PLANAVIMO IR PLĖTROS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3A4A0D63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r w:rsidR="000A070A" w:rsidRPr="000A070A">
        <w:rPr>
          <w:b/>
          <w:bCs/>
          <w:caps/>
        </w:rPr>
        <w:t>DĖL ŠILUTĖS RAJONO SAVIVALDYBĖS TARYBOS 2023 M. GEGUŽĖS 25 D. SPRENDIMO NR. T1-7 „DĖL ĮGALIOJIMŲ ATSTOVAUTI KLAIPĖDOS REGIONO PLĖTROS TARYBOS VISUOTINIUOSE DALYVIŲ SUSIRINKIMUOSE SUTEIKIMO“ PAKEITIMO</w:t>
      </w:r>
      <w:r>
        <w:rPr>
          <w:b/>
          <w:bCs/>
          <w:caps/>
          <w:sz w:val="22"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78948D7C" w:rsidR="00DD1F44" w:rsidRPr="008E22C6" w:rsidRDefault="00C62447" w:rsidP="00DD1F44">
      <w:pPr>
        <w:tabs>
          <w:tab w:val="left" w:pos="567"/>
        </w:tabs>
        <w:jc w:val="center"/>
      </w:pPr>
      <w:r w:rsidRPr="008E22C6">
        <w:t>202</w:t>
      </w:r>
      <w:r w:rsidR="000A070A">
        <w:t>4</w:t>
      </w:r>
      <w:r w:rsidRPr="008E22C6">
        <w:t xml:space="preserve"> </w:t>
      </w:r>
      <w:r w:rsidR="00D56540" w:rsidRPr="008E22C6">
        <w:t xml:space="preserve">m. </w:t>
      </w:r>
      <w:r w:rsidR="000A070A">
        <w:t>rugsėjo</w:t>
      </w:r>
      <w:r w:rsidR="00046218">
        <w:t xml:space="preserve"> </w:t>
      </w:r>
      <w:r w:rsidR="001F5BE3">
        <w:t>3</w:t>
      </w:r>
      <w:r w:rsidR="00D56540" w:rsidRPr="008E22C6">
        <w:t xml:space="preserve">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FA4CC2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6D843AB6" w14:textId="3CC5C6DE" w:rsidR="00844283" w:rsidRDefault="00844283" w:rsidP="00A116F9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bCs/>
              </w:rPr>
            </w:pPr>
            <w:r w:rsidRPr="00844283">
              <w:rPr>
                <w:bCs/>
              </w:rPr>
              <w:t xml:space="preserve">Sprendimo projekto tikslas – </w:t>
            </w:r>
            <w:r w:rsidR="008A6912">
              <w:rPr>
                <w:bCs/>
              </w:rPr>
              <w:t xml:space="preserve">pakeisti </w:t>
            </w:r>
            <w:r w:rsidR="008A6912" w:rsidRPr="008A6912">
              <w:rPr>
                <w:bCs/>
              </w:rPr>
              <w:t>Šilutės rajono savivaldybės tarybos 2023 m. gegužės 25 d. sprendimo Nr. T1-7 „Dėl įgaliojimų atstovauti Klaipėdos regiono plėtros tarybos visuotiniuose dalyvių susirinkimuose suteikimo“ 1.2 papunktį</w:t>
            </w:r>
            <w:r w:rsidR="008A6912">
              <w:rPr>
                <w:bCs/>
              </w:rPr>
              <w:t>, išdėstant</w:t>
            </w:r>
            <w:r w:rsidR="00611A42">
              <w:rPr>
                <w:bCs/>
              </w:rPr>
              <w:t xml:space="preserve"> jį taip</w:t>
            </w:r>
            <w:r w:rsidR="008A6912">
              <w:rPr>
                <w:bCs/>
              </w:rPr>
              <w:t>: „</w:t>
            </w:r>
            <w:r w:rsidR="008A6912" w:rsidRPr="008A6912">
              <w:rPr>
                <w:bCs/>
              </w:rPr>
              <w:t>1.2. Laisvai balsuoti visais Klaipėdos regiono plėtros tarybos visuotinio dalyvių susirinkimo kompetencijai priskirtais klausimais“.</w:t>
            </w:r>
          </w:p>
          <w:p w14:paraId="461761BB" w14:textId="1CA50BBD" w:rsidR="000A070A" w:rsidRPr="00FA4CC2" w:rsidRDefault="000A070A" w:rsidP="00A116F9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i/>
                <w:iCs/>
                <w:color w:val="000000"/>
                <w:szCs w:val="24"/>
                <w:u w:val="single"/>
                <w:shd w:val="clear" w:color="auto" w:fill="FFFFFF"/>
                <w:lang w:eastAsia="lt-LT"/>
              </w:rPr>
            </w:pP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6BAAD47F" w14:textId="77777777" w:rsidR="00CB7FF1" w:rsidRDefault="00844283" w:rsidP="00A116F9">
            <w:pPr>
              <w:suppressAutoHyphens/>
              <w:ind w:firstLine="596"/>
              <w:jc w:val="both"/>
              <w:rPr>
                <w:rFonts w:eastAsia="Calibri"/>
                <w:szCs w:val="24"/>
              </w:rPr>
            </w:pPr>
            <w:r w:rsidRPr="00844283">
              <w:rPr>
                <w:rFonts w:eastAsia="Calibri"/>
                <w:szCs w:val="24"/>
              </w:rPr>
              <w:t xml:space="preserve">Klaipėdos regiono plėtros tarybos steigiamajame susirinkime 2020 m. gruodžio 2 d. buvo pasirašyta KRPT steigimo sutartis. </w:t>
            </w:r>
            <w:r w:rsidRPr="00844283">
              <w:rPr>
                <w:szCs w:val="24"/>
                <w:lang w:eastAsia="lt-LT"/>
              </w:rPr>
              <w:t>Regiono plėtros tarybos organas yra visuotinis dalyvių susirinkimas ir valdymo organai – Kolegija ir regiono plėtros tarybos administracijos direktorius. Visuotinio dalyvių susirinkimo kompetencija, sprendimų priėmimo ir visuotinio dalyvių susirinkimo organizavimo tvarka apibrėžta LR regioninės plėtros įstatymo 21 straipsnyje.</w:t>
            </w:r>
            <w:r w:rsidRPr="00844283">
              <w:rPr>
                <w:rFonts w:eastAsia="Calibri"/>
                <w:szCs w:val="24"/>
              </w:rPr>
              <w:t xml:space="preserve"> </w:t>
            </w:r>
          </w:p>
          <w:p w14:paraId="31AC8A4B" w14:textId="53981FA4" w:rsidR="000A070A" w:rsidRPr="00FA4CC2" w:rsidRDefault="000A070A" w:rsidP="00A116F9">
            <w:pPr>
              <w:suppressAutoHyphens/>
              <w:ind w:firstLine="596"/>
              <w:jc w:val="both"/>
              <w:rPr>
                <w:szCs w:val="24"/>
                <w:lang w:eastAsia="lt-LT"/>
              </w:rPr>
            </w:pP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4CE97687" w14:textId="465C5E14" w:rsidR="00CB7FF1" w:rsidRDefault="00844283" w:rsidP="00A116F9">
            <w:pPr>
              <w:suppressAutoHyphens/>
              <w:ind w:firstLine="596"/>
              <w:jc w:val="both"/>
              <w:rPr>
                <w:bCs/>
              </w:rPr>
            </w:pPr>
            <w:r w:rsidRPr="00844283">
              <w:rPr>
                <w:bCs/>
              </w:rPr>
              <w:t xml:space="preserve">Pritarus sprendimo projektui </w:t>
            </w:r>
            <w:r w:rsidR="008A6912">
              <w:rPr>
                <w:bCs/>
              </w:rPr>
              <w:t xml:space="preserve">Šilutės rajono savivaldybės įgaliotas </w:t>
            </w:r>
            <w:r w:rsidRPr="00844283">
              <w:rPr>
                <w:bCs/>
              </w:rPr>
              <w:t>atstovas</w:t>
            </w:r>
            <w:r w:rsidR="008A6912">
              <w:rPr>
                <w:bCs/>
              </w:rPr>
              <w:t xml:space="preserve"> galės l</w:t>
            </w:r>
            <w:r w:rsidR="008A6912" w:rsidRPr="008A6912">
              <w:rPr>
                <w:bCs/>
              </w:rPr>
              <w:t>aisvai balsuoti visais Klaipėdos regiono plėtros tarybos visuotinio dalyvių susirinkimo kompetencijai priskirtais klausimais</w:t>
            </w:r>
            <w:r w:rsidRPr="00844283">
              <w:rPr>
                <w:bCs/>
              </w:rPr>
              <w:t>.</w:t>
            </w:r>
          </w:p>
          <w:p w14:paraId="780C1030" w14:textId="18F6DF0A" w:rsidR="000A070A" w:rsidRPr="00FA4CC2" w:rsidRDefault="000A070A" w:rsidP="00A116F9">
            <w:pPr>
              <w:suppressAutoHyphens/>
              <w:ind w:firstLine="596"/>
              <w:jc w:val="both"/>
              <w:rPr>
                <w:szCs w:val="24"/>
                <w:lang w:eastAsia="lt-LT"/>
              </w:rPr>
            </w:pP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F93F47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4DB45DD8" w14:textId="77777777" w:rsidR="000A0A71" w:rsidRDefault="00844283" w:rsidP="00A116F9">
            <w:pPr>
              <w:ind w:firstLine="596"/>
              <w:jc w:val="both"/>
              <w:rPr>
                <w:szCs w:val="24"/>
              </w:rPr>
            </w:pPr>
            <w:r w:rsidRPr="00844283">
              <w:rPr>
                <w:szCs w:val="24"/>
              </w:rPr>
              <w:t xml:space="preserve">Priėmus sprendimą neigiamų pasekmių nebus. </w:t>
            </w:r>
          </w:p>
          <w:p w14:paraId="74289F7C" w14:textId="0A63339C" w:rsidR="000A070A" w:rsidRPr="000A0A71" w:rsidRDefault="000A070A" w:rsidP="00A116F9">
            <w:pPr>
              <w:ind w:firstLine="596"/>
              <w:jc w:val="both"/>
            </w:pP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38509312" w14:textId="77777777" w:rsidR="00E55662" w:rsidRDefault="00844283" w:rsidP="00A116F9">
            <w:pPr>
              <w:suppressAutoHyphens/>
              <w:ind w:firstLine="596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>Sprendimo projektu galiojantis Regioninės plėtros tarybos veiklos teisinis reguliavimas nekeičiamas.</w:t>
            </w:r>
          </w:p>
          <w:p w14:paraId="10F9DA85" w14:textId="786543CB" w:rsidR="000A070A" w:rsidRDefault="000A070A" w:rsidP="00A116F9">
            <w:pPr>
              <w:suppressAutoHyphens/>
              <w:ind w:firstLine="596"/>
              <w:jc w:val="both"/>
            </w:pP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5464C33B" w14:textId="77777777" w:rsidR="000A0A71" w:rsidRDefault="00FA4CC2" w:rsidP="00A116F9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t>Antikorupcinis vertinimas nereikalingas.</w:t>
            </w:r>
          </w:p>
          <w:p w14:paraId="4DF6DD31" w14:textId="5FE6A92C" w:rsidR="000A070A" w:rsidRDefault="000A070A" w:rsidP="00A116F9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F93F47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7F7045E7" w14:textId="77777777" w:rsidR="00E55662" w:rsidRDefault="00844283" w:rsidP="00A116F9">
            <w:pPr>
              <w:tabs>
                <w:tab w:val="left" w:pos="780"/>
              </w:tabs>
              <w:suppressAutoHyphens/>
              <w:ind w:firstLine="596"/>
              <w:jc w:val="both"/>
            </w:pPr>
            <w:r w:rsidRPr="00844283">
              <w:lastRenderedPageBreak/>
              <w:t>Papildomų lėšų nereikės.</w:t>
            </w:r>
          </w:p>
          <w:p w14:paraId="286596B8" w14:textId="03A29A27" w:rsidR="000A070A" w:rsidRDefault="000A070A" w:rsidP="00A116F9">
            <w:pPr>
              <w:tabs>
                <w:tab w:val="left" w:pos="780"/>
              </w:tabs>
              <w:suppressAutoHyphens/>
              <w:ind w:firstLine="596"/>
              <w:jc w:val="both"/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0F3226CB" w14:textId="77777777" w:rsidR="00E55662" w:rsidRDefault="00FA4CC2" w:rsidP="00A116F9">
            <w:pPr>
              <w:ind w:firstLine="596"/>
              <w:jc w:val="both"/>
              <w:rPr>
                <w:szCs w:val="24"/>
              </w:rPr>
            </w:pPr>
            <w:r w:rsidRPr="00FA4CC2">
              <w:rPr>
                <w:szCs w:val="24"/>
              </w:rPr>
              <w:t>Planavimo ir plėtros skyriaus viešojo administravimo institucijos specialistė Aušra Stakvilevičienė</w:t>
            </w:r>
          </w:p>
          <w:p w14:paraId="5ECDD0B6" w14:textId="1000867D" w:rsidR="000A070A" w:rsidRDefault="000A070A" w:rsidP="00A116F9">
            <w:pPr>
              <w:ind w:firstLine="596"/>
              <w:jc w:val="both"/>
            </w:pPr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F93F47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1D0EA224" w14:textId="77777777" w:rsidR="00E55662" w:rsidRDefault="00844283" w:rsidP="00A116F9">
            <w:pPr>
              <w:tabs>
                <w:tab w:val="left" w:pos="0"/>
              </w:tabs>
              <w:suppressAutoHyphens/>
              <w:ind w:firstLine="596"/>
              <w:jc w:val="both"/>
              <w:rPr>
                <w:bCs/>
                <w:szCs w:val="24"/>
                <w:lang w:eastAsia="zh-CN"/>
              </w:rPr>
            </w:pPr>
            <w:r w:rsidRPr="00844283">
              <w:t>KRPT, visuotinis dalyvių susirinkimas</w:t>
            </w:r>
            <w:r w:rsidRPr="000A0A71" w:rsidDel="00844283">
              <w:rPr>
                <w:bCs/>
                <w:szCs w:val="24"/>
                <w:lang w:eastAsia="zh-CN"/>
              </w:rPr>
              <w:t xml:space="preserve"> </w:t>
            </w:r>
          </w:p>
          <w:p w14:paraId="225DEDFB" w14:textId="0E89D387" w:rsidR="000A070A" w:rsidRDefault="000A070A" w:rsidP="00A116F9">
            <w:pPr>
              <w:tabs>
                <w:tab w:val="left" w:pos="0"/>
              </w:tabs>
              <w:suppressAutoHyphens/>
              <w:ind w:firstLine="596"/>
              <w:jc w:val="both"/>
            </w:pPr>
          </w:p>
        </w:tc>
      </w:tr>
      <w:tr w:rsidR="00DD1F44" w14:paraId="1EE8E368" w14:textId="77777777" w:rsidTr="00DD1F44"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7911BF9C" w14:textId="77777777" w:rsidR="00844283" w:rsidRPr="00844283" w:rsidRDefault="00844283" w:rsidP="00844283">
            <w:pPr>
              <w:ind w:firstLine="596"/>
              <w:jc w:val="both"/>
              <w:rPr>
                <w:bCs/>
                <w:iCs/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>Visi KRPT steigėjai tapo jos dalyviais ir įgijo Lietuvos Respublikos regioninės plėtros įstatyme (toliau – Įstatymas), kituose teisės aktuose nustatytas dalyvio teises. Šilutės rajono s</w:t>
            </w:r>
            <w:r w:rsidRPr="00844283">
              <w:rPr>
                <w:bCs/>
                <w:iCs/>
                <w:szCs w:val="24"/>
                <w:lang w:eastAsia="lt-LT"/>
              </w:rPr>
              <w:t>avivaldybė savo, kaip KRPT dalyvio, teises įgyvendina per atstovaujamąją instituciją – Savivaldybės tarybą.</w:t>
            </w:r>
          </w:p>
          <w:p w14:paraId="38F0B6FD" w14:textId="77777777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>Regiono plėtros tarybos organas yra visuotinis dalyvių susirinkimas ir valdymo organai – Kolegija ir regiono plėtros tarybos administracijos direktorius. Visuotinio dalyvių susirinkimo kompetencija, sprendimų priėmimo ir visuotinio dalyvių susirinkimo organizavimo tvarka apibrėžta Įstatymo 21 straipsnyje:</w:t>
            </w:r>
          </w:p>
          <w:p w14:paraId="05A8D05F" w14:textId="77777777" w:rsidR="00844283" w:rsidRPr="00844283" w:rsidRDefault="00844283" w:rsidP="00844283">
            <w:pPr>
              <w:ind w:firstLine="851"/>
              <w:jc w:val="both"/>
              <w:rPr>
                <w:b/>
                <w:bCs/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>1. Regiono plėtros tarybos visuotinis dalyvių susirinkimas:</w:t>
            </w:r>
          </w:p>
          <w:p w14:paraId="384E726D" w14:textId="77777777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>1) keičia regiono plėtros tarybos nuostatus;</w:t>
            </w:r>
          </w:p>
          <w:p w14:paraId="348895FE" w14:textId="1739B450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 xml:space="preserve">2) </w:t>
            </w:r>
            <w:r w:rsidR="00366304">
              <w:rPr>
                <w:color w:val="000000"/>
              </w:rPr>
              <w:t> laikydamasis šio įstatymo 22 straipsnio 1, 2 ir 3 dalyse nustatytų reikalavimų, priima sprendimą dėl kolegijos narių skaičiaus ir sudėties;</w:t>
            </w:r>
          </w:p>
          <w:p w14:paraId="76EEF54E" w14:textId="77777777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>3) tvirtina Kolegijos personalinę sudėtį ir Kolegijos darbo reglamentą;</w:t>
            </w:r>
          </w:p>
          <w:p w14:paraId="0EC1927E" w14:textId="77777777" w:rsidR="00366304" w:rsidRDefault="00844283" w:rsidP="00844283">
            <w:pPr>
              <w:ind w:firstLine="851"/>
              <w:jc w:val="both"/>
              <w:rPr>
                <w:color w:val="000000"/>
              </w:rPr>
            </w:pPr>
            <w:r w:rsidRPr="00844283">
              <w:rPr>
                <w:szCs w:val="24"/>
                <w:lang w:eastAsia="lt-LT"/>
              </w:rPr>
              <w:t xml:space="preserve">4) </w:t>
            </w:r>
            <w:r w:rsidR="00366304">
              <w:rPr>
                <w:color w:val="000000"/>
              </w:rPr>
              <w:t>tvirtina regiono plėtros tarybos metinių ataskaitų rinkinį;</w:t>
            </w:r>
          </w:p>
          <w:p w14:paraId="34515189" w14:textId="4FDF7111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 xml:space="preserve">5) </w:t>
            </w:r>
            <w:r w:rsidR="00366304">
              <w:rPr>
                <w:color w:val="000000"/>
              </w:rPr>
              <w:t>priima sprendimus dėl regiono plėtros tarybos metinių finansinių ataskaitų audito ir veiklos audito atlikimo ir parenka auditorių ar audito įmonę;</w:t>
            </w:r>
            <w:r w:rsidRPr="00844283">
              <w:rPr>
                <w:szCs w:val="24"/>
                <w:lang w:eastAsia="lt-LT"/>
              </w:rPr>
              <w:t xml:space="preserve"> </w:t>
            </w:r>
          </w:p>
          <w:p w14:paraId="2EB1D009" w14:textId="77777777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 xml:space="preserve">6) priima sprendimą dėl kitų juridinių asmenų steigimo ar dėl tapimo kitų juridinių asmenų dalyviu; </w:t>
            </w:r>
          </w:p>
          <w:p w14:paraId="7686A5E2" w14:textId="77777777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>7) priima sprendimą dėl regiono plėtros tarybos pabaigos;</w:t>
            </w:r>
          </w:p>
          <w:p w14:paraId="2696CD48" w14:textId="77777777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 xml:space="preserve">8) skiria ir atšaukia likvidatorių, kai šio įstatymo numatytais atvejais regiono plėtros tarybos visuotinis dalyvių susirinkimas priima sprendimą likviduoti regiono plėtros tarybą; </w:t>
            </w:r>
          </w:p>
          <w:p w14:paraId="024E1881" w14:textId="69A6BE71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 xml:space="preserve">9) </w:t>
            </w:r>
            <w:r w:rsidR="00366304">
              <w:rPr>
                <w:color w:val="000000"/>
              </w:rPr>
              <w:t>priima sprendimus dėl regiono plėtros tarybos dalyvių stojamųjų įnašų ir dalyvių mokesčių dydžio, mokėjimo tvarkos, kai ši tvarka nenustatyta regiono plėtros tarybos nuostatuose;</w:t>
            </w:r>
          </w:p>
          <w:p w14:paraId="090EBC12" w14:textId="77777777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>10) nustato regiono plėtros tarybos lėšų naudojimo, regiono plėtros tarybos vidaus kontrolės tvarką;</w:t>
            </w:r>
          </w:p>
          <w:p w14:paraId="1551C2A7" w14:textId="77777777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>11) tvirtina regiono plėtros tarybos administracijos direktoriaus ir administracijos darbuotojų darbo apmokėjimo sistemą;</w:t>
            </w:r>
          </w:p>
          <w:p w14:paraId="7CA54F68" w14:textId="77777777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 xml:space="preserve">12) sprendžia kitus šiame įstatyme ir regiono plėtros tarybos nuostatuose visuotinio dalyvių susirinkimo kompetencijai priskirtus klausimus. </w:t>
            </w:r>
          </w:p>
          <w:p w14:paraId="6CE43610" w14:textId="77777777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t>2. Regiono plėtros tarybos visuotinio dalyvių susirinkimo sprendimai priimami paprasta balsų dauguma, išskyrus šio straipsnio 1 dalies 1, 6, 7 ir 9 punktuose nurodytus sprendimus, kurie priimami visų visuotinio dalyvių susirinkimo dalyvių pritarimu.</w:t>
            </w:r>
          </w:p>
          <w:p w14:paraId="2F8A79A2" w14:textId="77777777" w:rsidR="00366304" w:rsidRDefault="00844283" w:rsidP="00844283">
            <w:pPr>
              <w:ind w:firstLine="851"/>
              <w:jc w:val="both"/>
              <w:rPr>
                <w:color w:val="000000"/>
              </w:rPr>
            </w:pPr>
            <w:r w:rsidRPr="00844283">
              <w:rPr>
                <w:szCs w:val="24"/>
                <w:lang w:eastAsia="lt-LT"/>
              </w:rPr>
              <w:t xml:space="preserve">3. </w:t>
            </w:r>
            <w:r w:rsidR="00366304">
              <w:rPr>
                <w:color w:val="000000"/>
              </w:rPr>
              <w:t>Visuotiniame dalyvių susirinkime sprendžiamojo balso teisę turi visi regiono plėtros tarybos dalyviai. Kiekvienas regiono plėtros tarybos dalyvis visuotiniame dalyvių susirinkime turi vieną balsą.</w:t>
            </w:r>
          </w:p>
          <w:p w14:paraId="09FAEDFD" w14:textId="7B2D52F5" w:rsidR="00844283" w:rsidRPr="00844283" w:rsidRDefault="00366304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 xml:space="preserve">4. </w:t>
            </w:r>
            <w:r w:rsidR="00844283" w:rsidRPr="00844283">
              <w:rPr>
                <w:szCs w:val="24"/>
                <w:lang w:eastAsia="lt-LT"/>
              </w:rPr>
              <w:t xml:space="preserve"> </w:t>
            </w:r>
            <w:r>
              <w:rPr>
                <w:color w:val="000000"/>
              </w:rPr>
              <w:t>Regiono plėtros tarybos visuotinis dalyvių susirinkimas gali būti šaukiamas teismo sprendimu, jeigu jis nebuvo sušauktas šiame įstatyme ir regiono plėtros tarybos nuostatuose nustatyta tvarka ir dėl to į teismą kreipėsi regiono plėtros tarybos dalyvis.</w:t>
            </w:r>
          </w:p>
          <w:p w14:paraId="7A88C538" w14:textId="60920ADE" w:rsidR="00844283" w:rsidRPr="00844283" w:rsidRDefault="00844283" w:rsidP="00844283">
            <w:pPr>
              <w:ind w:firstLine="851"/>
              <w:jc w:val="both"/>
              <w:rPr>
                <w:szCs w:val="24"/>
                <w:lang w:eastAsia="lt-LT"/>
              </w:rPr>
            </w:pPr>
            <w:r w:rsidRPr="00844283">
              <w:rPr>
                <w:szCs w:val="24"/>
                <w:lang w:eastAsia="lt-LT"/>
              </w:rPr>
              <w:lastRenderedPageBreak/>
              <w:t>2020 m. gruodžio 2 d. įvykusiame KRPT steigiamajame susirinkime buvo patvirtinti KRPT nuostatai</w:t>
            </w:r>
            <w:r w:rsidR="000A070A">
              <w:rPr>
                <w:szCs w:val="24"/>
                <w:lang w:eastAsia="lt-LT"/>
              </w:rPr>
              <w:t xml:space="preserve"> </w:t>
            </w:r>
            <w:r w:rsidR="000A070A" w:rsidRPr="000A070A">
              <w:rPr>
                <w:szCs w:val="24"/>
                <w:lang w:eastAsia="lt-LT"/>
              </w:rPr>
              <w:t>(Klaipėdos regiono plėtros tarybos visuotinio dalyvių susirinkimo 2024 m. liepos 2 d. sprendimo Nr. V/S-4 redakcija)</w:t>
            </w:r>
            <w:r w:rsidR="000A070A">
              <w:rPr>
                <w:szCs w:val="24"/>
                <w:lang w:eastAsia="lt-LT"/>
              </w:rPr>
              <w:t>,</w:t>
            </w:r>
            <w:r w:rsidRPr="00844283">
              <w:rPr>
                <w:szCs w:val="24"/>
                <w:lang w:eastAsia="lt-LT"/>
              </w:rPr>
              <w:t xml:space="preserve"> sudaryta KRPT kolegija ir patvirtintas jos darbo reglamentas. </w:t>
            </w:r>
          </w:p>
          <w:p w14:paraId="6C02EC07" w14:textId="77777777" w:rsidR="00844283" w:rsidRPr="00844283" w:rsidRDefault="00844283" w:rsidP="00844283">
            <w:pPr>
              <w:ind w:firstLine="851"/>
              <w:jc w:val="both"/>
              <w:rPr>
                <w:bCs/>
                <w:szCs w:val="24"/>
              </w:rPr>
            </w:pPr>
            <w:r w:rsidRPr="00844283">
              <w:rPr>
                <w:bCs/>
                <w:szCs w:val="24"/>
              </w:rPr>
              <w:t>KRPT nuostatų 11 punkte nurodytos regiono plėtros dalyvio pareigos:</w:t>
            </w:r>
          </w:p>
          <w:p w14:paraId="4725BDF5" w14:textId="0A6B15EF" w:rsidR="00844283" w:rsidRPr="00844283" w:rsidRDefault="00844283" w:rsidP="00844283">
            <w:pPr>
              <w:ind w:firstLine="851"/>
              <w:jc w:val="both"/>
              <w:rPr>
                <w:bCs/>
                <w:szCs w:val="24"/>
              </w:rPr>
            </w:pPr>
            <w:r w:rsidRPr="00844283">
              <w:rPr>
                <w:bCs/>
                <w:szCs w:val="24"/>
              </w:rPr>
              <w:t xml:space="preserve">1. </w:t>
            </w:r>
            <w:r w:rsidR="00611A42">
              <w:rPr>
                <w:bCs/>
                <w:szCs w:val="24"/>
              </w:rPr>
              <w:t>L</w:t>
            </w:r>
            <w:r w:rsidRPr="00844283">
              <w:rPr>
                <w:bCs/>
                <w:szCs w:val="24"/>
              </w:rPr>
              <w:t>aikytis nuostatų ir R</w:t>
            </w:r>
            <w:r w:rsidR="000A070A">
              <w:rPr>
                <w:bCs/>
                <w:szCs w:val="24"/>
              </w:rPr>
              <w:t>egiono plėtros tarybos</w:t>
            </w:r>
            <w:r w:rsidRPr="00844283">
              <w:rPr>
                <w:bCs/>
                <w:szCs w:val="24"/>
              </w:rPr>
              <w:t xml:space="preserve"> visuotinio dalyvių susirinkimo sprendimų;</w:t>
            </w:r>
          </w:p>
          <w:p w14:paraId="0DF52BC3" w14:textId="3EAD85C0" w:rsidR="00844283" w:rsidRPr="00844283" w:rsidRDefault="00844283" w:rsidP="00844283">
            <w:pPr>
              <w:ind w:firstLine="851"/>
              <w:jc w:val="both"/>
              <w:rPr>
                <w:bCs/>
                <w:szCs w:val="24"/>
              </w:rPr>
            </w:pPr>
            <w:r w:rsidRPr="00844283">
              <w:rPr>
                <w:bCs/>
                <w:szCs w:val="24"/>
              </w:rPr>
              <w:t>2. R</w:t>
            </w:r>
            <w:r w:rsidR="000A070A">
              <w:rPr>
                <w:bCs/>
                <w:szCs w:val="24"/>
              </w:rPr>
              <w:t>egiono plėtros tarybos</w:t>
            </w:r>
            <w:r w:rsidRPr="00844283">
              <w:rPr>
                <w:bCs/>
                <w:szCs w:val="24"/>
              </w:rPr>
              <w:t xml:space="preserve"> visuotinio dalyvių susirinkimo nustatyta tvarka sumokėti dalyvio stojamąjį įnašą ir mokėti dalyvio mokesčius;</w:t>
            </w:r>
          </w:p>
          <w:p w14:paraId="7FB07458" w14:textId="493518C9" w:rsidR="000A0A71" w:rsidRDefault="00844283" w:rsidP="008A6912">
            <w:pPr>
              <w:ind w:firstLine="873"/>
              <w:jc w:val="both"/>
              <w:rPr>
                <w:bCs/>
                <w:szCs w:val="24"/>
              </w:rPr>
            </w:pPr>
            <w:r w:rsidRPr="00844283">
              <w:rPr>
                <w:bCs/>
                <w:szCs w:val="24"/>
              </w:rPr>
              <w:t xml:space="preserve">3. </w:t>
            </w:r>
            <w:r w:rsidR="00611A42">
              <w:rPr>
                <w:bCs/>
                <w:szCs w:val="24"/>
              </w:rPr>
              <w:t>U</w:t>
            </w:r>
            <w:r w:rsidRPr="00844283">
              <w:rPr>
                <w:bCs/>
                <w:szCs w:val="24"/>
              </w:rPr>
              <w:t>žtikrinti savo įgalioto asmens dalyvavimą R</w:t>
            </w:r>
            <w:r w:rsidR="000A070A">
              <w:rPr>
                <w:bCs/>
                <w:szCs w:val="24"/>
              </w:rPr>
              <w:t xml:space="preserve">egiono plėtros tarybos </w:t>
            </w:r>
            <w:r w:rsidRPr="00844283">
              <w:rPr>
                <w:bCs/>
                <w:szCs w:val="24"/>
              </w:rPr>
              <w:t>visuotiniuose dalyvių susirinkimuose</w:t>
            </w:r>
            <w:r w:rsidR="000A070A">
              <w:rPr>
                <w:bCs/>
                <w:szCs w:val="24"/>
              </w:rPr>
              <w:t>;</w:t>
            </w:r>
          </w:p>
          <w:p w14:paraId="58D4AE36" w14:textId="3B1D4DD7" w:rsidR="000A070A" w:rsidRDefault="000A070A" w:rsidP="008A6912">
            <w:pPr>
              <w:ind w:firstLine="873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4. </w:t>
            </w:r>
            <w:r w:rsidR="00611A42">
              <w:rPr>
                <w:szCs w:val="22"/>
              </w:rPr>
              <w:t xml:space="preserve">Vykdyti </w:t>
            </w:r>
            <w:r>
              <w:rPr>
                <w:szCs w:val="22"/>
              </w:rPr>
              <w:t>kitas įstatymuose ir nuostatuose nustatytas pareigas.</w:t>
            </w:r>
          </w:p>
          <w:p w14:paraId="6768CF77" w14:textId="7AFF6290" w:rsidR="000A070A" w:rsidRDefault="000A070A" w:rsidP="008A6912">
            <w:pPr>
              <w:ind w:firstLine="873"/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A116F9">
      <w:pPr>
        <w:pStyle w:val="Pagrindiniotekstotrauka3"/>
        <w:spacing w:after="0"/>
        <w:ind w:left="0"/>
        <w:rPr>
          <w:b/>
          <w:bCs/>
        </w:rPr>
      </w:pPr>
    </w:p>
    <w:p w14:paraId="1C9B1AD0" w14:textId="77777777" w:rsidR="003048E2" w:rsidRPr="00AB291C" w:rsidRDefault="003048E2" w:rsidP="00310DC9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AB291C">
        <w:rPr>
          <w:bCs/>
          <w:sz w:val="24"/>
          <w:szCs w:val="24"/>
        </w:rPr>
        <w:t>Planavimo ir plėtros skyriaus</w:t>
      </w:r>
    </w:p>
    <w:p w14:paraId="4CFE9A7C" w14:textId="452BBD06" w:rsidR="00B55D2E" w:rsidRPr="00AB291C" w:rsidRDefault="003048E2" w:rsidP="00310DC9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 w:rsidRPr="00AB291C">
        <w:rPr>
          <w:bCs/>
          <w:sz w:val="24"/>
          <w:szCs w:val="24"/>
        </w:rPr>
        <w:t>viešojo administravimo institucijos specialistė</w:t>
      </w:r>
      <w:r w:rsidR="00DD1F44" w:rsidRPr="00AB291C">
        <w:rPr>
          <w:bCs/>
          <w:sz w:val="24"/>
          <w:szCs w:val="24"/>
        </w:rPr>
        <w:tab/>
      </w:r>
      <w:r w:rsidR="00B55D2E" w:rsidRPr="00AB291C">
        <w:rPr>
          <w:bCs/>
          <w:sz w:val="24"/>
          <w:szCs w:val="24"/>
        </w:rPr>
        <w:t xml:space="preserve">                       </w:t>
      </w:r>
      <w:r w:rsidRPr="00AB291C">
        <w:rPr>
          <w:bCs/>
          <w:sz w:val="24"/>
          <w:szCs w:val="24"/>
        </w:rPr>
        <w:tab/>
      </w:r>
      <w:r w:rsidRPr="00AB291C">
        <w:rPr>
          <w:bCs/>
          <w:sz w:val="24"/>
          <w:szCs w:val="24"/>
        </w:rPr>
        <w:tab/>
        <w:t>Aušra Stakvilevičienė</w:t>
      </w:r>
      <w:r w:rsidR="00B55D2E" w:rsidRPr="00AB291C">
        <w:rPr>
          <w:bCs/>
          <w:sz w:val="24"/>
          <w:szCs w:val="24"/>
        </w:rPr>
        <w:t xml:space="preserve">   </w:t>
      </w:r>
      <w:r w:rsidR="00B55D2E" w:rsidRPr="00AB291C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AB291C">
        <w:rPr>
          <w:bCs/>
          <w:sz w:val="24"/>
          <w:szCs w:val="24"/>
        </w:rPr>
        <w:t xml:space="preserve">                                   </w:t>
      </w:r>
    </w:p>
    <w:p w14:paraId="740F6947" w14:textId="77777777" w:rsidR="005D1983" w:rsidRPr="00AB291C" w:rsidRDefault="005D1983"/>
    <w:sectPr w:rsidR="005D1983" w:rsidRPr="00AB2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8DD76" w14:textId="77777777" w:rsidR="00A20862" w:rsidRDefault="00A20862">
      <w:r>
        <w:separator/>
      </w:r>
    </w:p>
  </w:endnote>
  <w:endnote w:type="continuationSeparator" w:id="0">
    <w:p w14:paraId="051D5366" w14:textId="77777777" w:rsidR="00A20862" w:rsidRDefault="00A2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4F77A" w14:textId="77777777" w:rsidR="00A20862" w:rsidRDefault="00A20862">
      <w:r>
        <w:separator/>
      </w:r>
    </w:p>
  </w:footnote>
  <w:footnote w:type="continuationSeparator" w:id="0">
    <w:p w14:paraId="09F8F90C" w14:textId="77777777" w:rsidR="00A20862" w:rsidRDefault="00A2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56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num w:numId="1" w16cid:durableId="127829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097"/>
    <w:rsid w:val="00030478"/>
    <w:rsid w:val="00046218"/>
    <w:rsid w:val="000533BB"/>
    <w:rsid w:val="000638F6"/>
    <w:rsid w:val="00071EBA"/>
    <w:rsid w:val="000734BA"/>
    <w:rsid w:val="000854CA"/>
    <w:rsid w:val="000A070A"/>
    <w:rsid w:val="000A0A71"/>
    <w:rsid w:val="000B617B"/>
    <w:rsid w:val="00100111"/>
    <w:rsid w:val="00147B82"/>
    <w:rsid w:val="00152D67"/>
    <w:rsid w:val="001C253E"/>
    <w:rsid w:val="001F5BE3"/>
    <w:rsid w:val="00211530"/>
    <w:rsid w:val="0023330F"/>
    <w:rsid w:val="00247038"/>
    <w:rsid w:val="00274633"/>
    <w:rsid w:val="00296440"/>
    <w:rsid w:val="003048E2"/>
    <w:rsid w:val="003079BB"/>
    <w:rsid w:val="00310DC9"/>
    <w:rsid w:val="00322C9A"/>
    <w:rsid w:val="00326147"/>
    <w:rsid w:val="00366304"/>
    <w:rsid w:val="003751CD"/>
    <w:rsid w:val="003A18D1"/>
    <w:rsid w:val="003A1B87"/>
    <w:rsid w:val="003B62B7"/>
    <w:rsid w:val="003C783E"/>
    <w:rsid w:val="003E44A1"/>
    <w:rsid w:val="00414014"/>
    <w:rsid w:val="0042230F"/>
    <w:rsid w:val="00423FB4"/>
    <w:rsid w:val="0044309A"/>
    <w:rsid w:val="0047544E"/>
    <w:rsid w:val="004E3A93"/>
    <w:rsid w:val="00513D59"/>
    <w:rsid w:val="00533B75"/>
    <w:rsid w:val="0054068A"/>
    <w:rsid w:val="00566739"/>
    <w:rsid w:val="005D1983"/>
    <w:rsid w:val="006100CA"/>
    <w:rsid w:val="00611A42"/>
    <w:rsid w:val="006212F4"/>
    <w:rsid w:val="00725A2C"/>
    <w:rsid w:val="00731EFD"/>
    <w:rsid w:val="00750139"/>
    <w:rsid w:val="00767BE0"/>
    <w:rsid w:val="00774554"/>
    <w:rsid w:val="0078024C"/>
    <w:rsid w:val="0078117C"/>
    <w:rsid w:val="00797721"/>
    <w:rsid w:val="007D156C"/>
    <w:rsid w:val="007E451D"/>
    <w:rsid w:val="0080318D"/>
    <w:rsid w:val="0082650E"/>
    <w:rsid w:val="00830D6F"/>
    <w:rsid w:val="00844283"/>
    <w:rsid w:val="008451A7"/>
    <w:rsid w:val="00852DA3"/>
    <w:rsid w:val="00870339"/>
    <w:rsid w:val="00877183"/>
    <w:rsid w:val="008A1957"/>
    <w:rsid w:val="008A6912"/>
    <w:rsid w:val="008C7949"/>
    <w:rsid w:val="008D07F1"/>
    <w:rsid w:val="008D613E"/>
    <w:rsid w:val="008E22C6"/>
    <w:rsid w:val="008F2B37"/>
    <w:rsid w:val="008F3337"/>
    <w:rsid w:val="00923661"/>
    <w:rsid w:val="00963944"/>
    <w:rsid w:val="00974D16"/>
    <w:rsid w:val="009A24E0"/>
    <w:rsid w:val="009B4FA3"/>
    <w:rsid w:val="00A04F87"/>
    <w:rsid w:val="00A116F9"/>
    <w:rsid w:val="00A20862"/>
    <w:rsid w:val="00A439BF"/>
    <w:rsid w:val="00A7137E"/>
    <w:rsid w:val="00AB291C"/>
    <w:rsid w:val="00AE38E9"/>
    <w:rsid w:val="00AE7E89"/>
    <w:rsid w:val="00B02645"/>
    <w:rsid w:val="00B03E5C"/>
    <w:rsid w:val="00B1479D"/>
    <w:rsid w:val="00B55D2E"/>
    <w:rsid w:val="00C27561"/>
    <w:rsid w:val="00C62447"/>
    <w:rsid w:val="00C64056"/>
    <w:rsid w:val="00C745A3"/>
    <w:rsid w:val="00C747BE"/>
    <w:rsid w:val="00CB5CF9"/>
    <w:rsid w:val="00CB7FF1"/>
    <w:rsid w:val="00D3443B"/>
    <w:rsid w:val="00D56540"/>
    <w:rsid w:val="00DA2660"/>
    <w:rsid w:val="00DD1F44"/>
    <w:rsid w:val="00E517EC"/>
    <w:rsid w:val="00E55662"/>
    <w:rsid w:val="00E64C17"/>
    <w:rsid w:val="00EA56C8"/>
    <w:rsid w:val="00ED4EE4"/>
    <w:rsid w:val="00EF4F54"/>
    <w:rsid w:val="00F07FA1"/>
    <w:rsid w:val="00F123E3"/>
    <w:rsid w:val="00F2137A"/>
    <w:rsid w:val="00F279F2"/>
    <w:rsid w:val="00F93F47"/>
    <w:rsid w:val="00FA4CC2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01904C1C-B94F-47BD-B1CE-4AD1F606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F9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5693</Characters>
  <Application>Microsoft Office Word</Application>
  <DocSecurity>0</DocSecurity>
  <Lines>47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2022-05-05T13:08:00Z</dcterms:created>
  <dcterms:modified xsi:type="dcterms:W3CDTF">2024-09-11T08:16:00Z</dcterms:modified>
</cp:coreProperties>
</file>