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9758" w14:textId="77777777" w:rsidR="002D3E6F" w:rsidRDefault="009264BA">
      <w:pPr>
        <w:jc w:val="center"/>
        <w:rPr>
          <w:b/>
          <w:caps/>
        </w:rPr>
      </w:pPr>
      <w:r>
        <w:rPr>
          <w:b/>
          <w:bCs/>
          <w:caps/>
        </w:rPr>
        <w:t>ŠILUTĖS RAJONO SAVIVALDYBĖS ADMINISTRACIJOS</w:t>
      </w:r>
    </w:p>
    <w:p w14:paraId="10B4E868" w14:textId="77777777" w:rsidR="002D3E6F" w:rsidRPr="004B2EB5" w:rsidRDefault="009264BA">
      <w:pPr>
        <w:pStyle w:val="Antrat"/>
        <w:spacing w:before="0" w:after="0"/>
        <w:jc w:val="center"/>
        <w:rPr>
          <w:b/>
          <w:bCs/>
          <w:i w:val="0"/>
          <w:iCs w:val="0"/>
        </w:rPr>
      </w:pPr>
      <w:r w:rsidRPr="004B2EB5">
        <w:rPr>
          <w:b/>
          <w:bCs/>
          <w:i w:val="0"/>
          <w:iCs w:val="0"/>
          <w:caps/>
        </w:rPr>
        <w:t>socialinės paramos skyrius</w:t>
      </w:r>
    </w:p>
    <w:p w14:paraId="0744A4AB" w14:textId="77777777" w:rsidR="002D3E6F" w:rsidRDefault="002D3E6F">
      <w:pPr>
        <w:pStyle w:val="Pagrindinistekstas"/>
        <w:jc w:val="center"/>
        <w:rPr>
          <w:caps/>
        </w:rPr>
      </w:pPr>
    </w:p>
    <w:p w14:paraId="6F6DE127" w14:textId="77777777" w:rsidR="002D3E6F" w:rsidRDefault="009264BA">
      <w:pPr>
        <w:pStyle w:val="Paantrat"/>
      </w:pPr>
      <w:r>
        <w:t>AIŠKINAMASIS RAŠTAS</w:t>
      </w:r>
    </w:p>
    <w:p w14:paraId="65637560" w14:textId="1C041E65" w:rsidR="002D3E6F" w:rsidRDefault="009264BA">
      <w:pPr>
        <w:pStyle w:val="Pagrindinistekstas"/>
        <w:spacing w:after="0"/>
        <w:jc w:val="center"/>
      </w:pPr>
      <w:r>
        <w:rPr>
          <w:rFonts w:cs="Times New Roman"/>
          <w:b/>
          <w:bCs/>
          <w:caps/>
        </w:rPr>
        <w:t>DĖL TARYBOS SPRENDIMO „</w:t>
      </w:r>
      <w:r>
        <w:rPr>
          <w:rFonts w:cs="Times New Roman"/>
          <w:b/>
          <w:bCs/>
          <w:caps/>
          <w:color w:val="000000"/>
        </w:rPr>
        <w:t xml:space="preserve">DĖL </w:t>
      </w:r>
      <w:r w:rsidR="00FC6004">
        <w:rPr>
          <w:rFonts w:cs="Times New Roman"/>
          <w:b/>
          <w:bCs/>
          <w:caps/>
          <w:color w:val="000000"/>
        </w:rPr>
        <w:t>MOKĖJIMO UŽ SOCIALINES PASLAUGAS</w:t>
      </w:r>
      <w:r>
        <w:rPr>
          <w:rFonts w:cs="Times New Roman"/>
          <w:b/>
          <w:bCs/>
          <w:caps/>
          <w:color w:val="000000"/>
        </w:rPr>
        <w:t xml:space="preserve"> ŠILUTĖS RAJONO SAVIVALDYBĖJE TVARKOS APRAŠO PATVIRTINIMO</w:t>
      </w:r>
      <w:r>
        <w:rPr>
          <w:rFonts w:cs="Times New Roman"/>
          <w:b/>
          <w:bCs/>
          <w:caps/>
        </w:rPr>
        <w:t xml:space="preserve">“ PROJEKTO </w:t>
      </w:r>
    </w:p>
    <w:p w14:paraId="339AC668" w14:textId="77777777" w:rsidR="002D3E6F" w:rsidRDefault="002D3E6F">
      <w:pPr>
        <w:tabs>
          <w:tab w:val="left" w:pos="0"/>
        </w:tabs>
        <w:jc w:val="center"/>
        <w:rPr>
          <w:b/>
          <w:bCs/>
          <w:caps/>
          <w:color w:val="000000"/>
        </w:rPr>
      </w:pPr>
    </w:p>
    <w:p w14:paraId="53BA5826" w14:textId="08732116" w:rsidR="002D3E6F" w:rsidRDefault="009264BA">
      <w:pPr>
        <w:tabs>
          <w:tab w:val="left" w:pos="567"/>
        </w:tabs>
        <w:jc w:val="center"/>
      </w:pPr>
      <w:r>
        <w:t>202</w:t>
      </w:r>
      <w:r w:rsidR="000F7E0F">
        <w:t>4</w:t>
      </w:r>
      <w:r>
        <w:t xml:space="preserve"> m. </w:t>
      </w:r>
      <w:r w:rsidR="00614ADA">
        <w:t>spalio 2</w:t>
      </w:r>
      <w:r w:rsidR="00892B3A">
        <w:t>1</w:t>
      </w:r>
      <w:r w:rsidR="00614ADA">
        <w:t xml:space="preserve"> </w:t>
      </w:r>
      <w:r>
        <w:t>d.</w:t>
      </w:r>
    </w:p>
    <w:p w14:paraId="2ED497E0" w14:textId="77777777" w:rsidR="002D3E6F" w:rsidRDefault="009264BA">
      <w:pPr>
        <w:tabs>
          <w:tab w:val="left" w:pos="0"/>
        </w:tabs>
        <w:jc w:val="center"/>
      </w:pPr>
      <w:r>
        <w:t>Šilutė</w:t>
      </w:r>
    </w:p>
    <w:tbl>
      <w:tblPr>
        <w:tblW w:w="9797" w:type="dxa"/>
        <w:tblInd w:w="-51" w:type="dxa"/>
        <w:tblLayout w:type="fixed"/>
        <w:tblLook w:val="04A0" w:firstRow="1" w:lastRow="0" w:firstColumn="1" w:lastColumn="0" w:noHBand="0" w:noVBand="1"/>
      </w:tblPr>
      <w:tblGrid>
        <w:gridCol w:w="9797"/>
      </w:tblGrid>
      <w:tr w:rsidR="002D3E6F" w14:paraId="7EA84C91" w14:textId="77777777">
        <w:tc>
          <w:tcPr>
            <w:tcW w:w="9797" w:type="dxa"/>
            <w:shd w:val="clear" w:color="auto" w:fill="auto"/>
          </w:tcPr>
          <w:p w14:paraId="2CD33FB2" w14:textId="77777777" w:rsidR="002D3E6F" w:rsidRDefault="002D3E6F">
            <w:pPr>
              <w:widowControl w:val="0"/>
              <w:snapToGrid w:val="0"/>
              <w:ind w:firstLine="1134"/>
              <w:rPr>
                <w:b/>
                <w:bCs/>
                <w:i/>
                <w:iCs/>
              </w:rPr>
            </w:pPr>
          </w:p>
          <w:p w14:paraId="3F3F68E7" w14:textId="77777777" w:rsidR="002D3E6F" w:rsidRDefault="009264BA">
            <w:pPr>
              <w:widowControl w:val="0"/>
              <w:ind w:firstLine="1134"/>
              <w:rPr>
                <w:b/>
                <w:bCs/>
                <w:i/>
                <w:iCs/>
              </w:rPr>
            </w:pPr>
            <w:r>
              <w:rPr>
                <w:b/>
                <w:bCs/>
                <w:i/>
                <w:iCs/>
              </w:rPr>
              <w:t>1. Parengto projekto tikslai ir uždaviniai.</w:t>
            </w:r>
          </w:p>
        </w:tc>
      </w:tr>
      <w:tr w:rsidR="002D3E6F" w14:paraId="1A287CF0" w14:textId="77777777">
        <w:tc>
          <w:tcPr>
            <w:tcW w:w="9797" w:type="dxa"/>
            <w:shd w:val="clear" w:color="auto" w:fill="auto"/>
          </w:tcPr>
          <w:p w14:paraId="03C79194" w14:textId="4EA5A1BB" w:rsidR="004C6FCF" w:rsidRPr="007A1CE1" w:rsidRDefault="009264BA" w:rsidP="007A1CE1">
            <w:pPr>
              <w:widowControl w:val="0"/>
              <w:ind w:firstLine="1134"/>
              <w:jc w:val="both"/>
              <w:rPr>
                <w:rFonts w:eastAsia="Times New Roman"/>
                <w:bCs/>
              </w:rPr>
            </w:pPr>
            <w:r w:rsidRPr="006B342F">
              <w:t xml:space="preserve">Tvarkos projekto pagrindinis tikslas – </w:t>
            </w:r>
            <w:r w:rsidR="00627D02">
              <w:t>patvirtinti</w:t>
            </w:r>
            <w:r w:rsidR="000F7E0F" w:rsidRPr="006B342F">
              <w:t xml:space="preserve"> </w:t>
            </w:r>
            <w:r w:rsidR="00CB283A">
              <w:t xml:space="preserve">Mokėjimo už socialines paslaugas </w:t>
            </w:r>
            <w:r w:rsidR="000F7E0F" w:rsidRPr="006B342F">
              <w:t>Šilutės rajono savivaldybėje tvarkos apraš</w:t>
            </w:r>
            <w:r w:rsidR="00627D02">
              <w:t>ą, parengtą</w:t>
            </w:r>
            <w:r w:rsidR="000F7E0F" w:rsidRPr="006B342F">
              <w:t xml:space="preserve"> </w:t>
            </w:r>
            <w:r w:rsidR="00627D02">
              <w:t>vadovaujantis</w:t>
            </w:r>
            <w:r w:rsidR="000F7E0F" w:rsidRPr="006B342F">
              <w:t xml:space="preserve"> Lietuvos Respublikos socialin</w:t>
            </w:r>
            <w:r w:rsidR="00CB283A">
              <w:t xml:space="preserve">ių paslaugų įstatymo </w:t>
            </w:r>
            <w:r w:rsidR="00CB283A">
              <w:rPr>
                <w:rFonts w:eastAsia="Times New Roman"/>
                <w:bCs/>
              </w:rPr>
              <w:t xml:space="preserve">35 straipsnio 9 </w:t>
            </w:r>
            <w:r w:rsidR="00CB283A" w:rsidRPr="00AA274E">
              <w:rPr>
                <w:rFonts w:eastAsia="Times New Roman"/>
                <w:bCs/>
              </w:rPr>
              <w:t>punktu</w:t>
            </w:r>
            <w:r w:rsidR="007A1CE1">
              <w:rPr>
                <w:rFonts w:eastAsia="Times New Roman"/>
                <w:bCs/>
              </w:rPr>
              <w:t xml:space="preserve">. </w:t>
            </w:r>
            <w:r w:rsidR="00CB283A">
              <w:t xml:space="preserve"> </w:t>
            </w:r>
          </w:p>
        </w:tc>
      </w:tr>
      <w:tr w:rsidR="002D3E6F" w14:paraId="256874D0" w14:textId="77777777">
        <w:tc>
          <w:tcPr>
            <w:tcW w:w="9797" w:type="dxa"/>
            <w:shd w:val="clear" w:color="auto" w:fill="auto"/>
          </w:tcPr>
          <w:p w14:paraId="59A450E7" w14:textId="02FDCAE2" w:rsidR="00345F12" w:rsidRDefault="00EB78E1">
            <w:pPr>
              <w:widowControl w:val="0"/>
              <w:ind w:firstLine="1134"/>
              <w:jc w:val="both"/>
              <w:rPr>
                <w:b/>
                <w:bCs/>
                <w:i/>
                <w:iCs/>
              </w:rPr>
            </w:pPr>
            <w:r w:rsidRPr="00EB78E1">
              <w:rPr>
                <w:kern w:val="0"/>
              </w:rPr>
              <w:t xml:space="preserve">Bus įgyvendintas </w:t>
            </w:r>
            <w:hyperlink r:id="rId5" w:history="1">
              <w:r w:rsidRPr="00EB78E1">
                <w:rPr>
                  <w:color w:val="0563C1" w:themeColor="hyperlink"/>
                  <w:kern w:val="0"/>
                  <w:u w:val="single"/>
                </w:rPr>
                <w:t>Lietuvos Respublikos teisėkūros pagrindų įstatyme</w:t>
              </w:r>
            </w:hyperlink>
            <w:r w:rsidRPr="00EB78E1">
              <w:rPr>
                <w:color w:val="000000"/>
                <w:kern w:val="0"/>
              </w:rPr>
              <w:t xml:space="preserve"> įtvirtintas teisėkūros sistemiškumo principas, reiškiantis, kad teisės normos turi derėti tarpusavyje</w:t>
            </w:r>
            <w:r w:rsidRPr="00EB78E1">
              <w:rPr>
                <w:rFonts w:cs="Times New Roman"/>
                <w:color w:val="auto"/>
                <w:kern w:val="0"/>
                <w:lang w:eastAsia="lt-LT" w:bidi="ar-SA"/>
              </w:rPr>
              <w:t>.</w:t>
            </w:r>
          </w:p>
          <w:p w14:paraId="1E4DB012" w14:textId="6F9C48DE" w:rsidR="002D3E6F" w:rsidRDefault="009264BA">
            <w:pPr>
              <w:widowControl w:val="0"/>
              <w:ind w:firstLine="1134"/>
              <w:jc w:val="both"/>
              <w:rPr>
                <w:b/>
                <w:bCs/>
                <w:i/>
                <w:iCs/>
              </w:rPr>
            </w:pPr>
            <w:r>
              <w:rPr>
                <w:b/>
                <w:bCs/>
                <w:i/>
                <w:iCs/>
              </w:rPr>
              <w:t>2. Kaip šiuo metu yra sureguliuoti projekte aptarti klausimai.</w:t>
            </w:r>
          </w:p>
        </w:tc>
      </w:tr>
      <w:tr w:rsidR="002D3E6F" w14:paraId="5503F167" w14:textId="77777777">
        <w:tc>
          <w:tcPr>
            <w:tcW w:w="9797" w:type="dxa"/>
            <w:shd w:val="clear" w:color="auto" w:fill="auto"/>
          </w:tcPr>
          <w:p w14:paraId="35F433F0" w14:textId="347AE68E" w:rsidR="009951F1" w:rsidRPr="009951F1" w:rsidRDefault="009951F1">
            <w:pPr>
              <w:pStyle w:val="Sraopastraipa"/>
              <w:widowControl w:val="0"/>
              <w:numPr>
                <w:ilvl w:val="0"/>
                <w:numId w:val="1"/>
              </w:numPr>
              <w:ind w:left="0" w:firstLine="1134"/>
              <w:jc w:val="both"/>
            </w:pPr>
            <w:r>
              <w:t>Šilutės rajono savivaldybės tarybos 2019</w:t>
            </w:r>
            <w:r w:rsidR="005E5D3E">
              <w:t xml:space="preserve"> m. kovo </w:t>
            </w:r>
            <w:r>
              <w:t>28</w:t>
            </w:r>
            <w:r w:rsidR="005E5D3E">
              <w:t xml:space="preserve"> d.</w:t>
            </w:r>
            <w:r>
              <w:t xml:space="preserve"> sprendimas </w:t>
            </w:r>
            <w:r w:rsidR="005E5D3E">
              <w:t xml:space="preserve">                              </w:t>
            </w:r>
            <w:r>
              <w:t>Nr. T1-1301 ,,</w:t>
            </w:r>
            <w:hyperlink r:id="rId6" w:history="1">
              <w:r w:rsidRPr="00020695">
                <w:rPr>
                  <w:rStyle w:val="Hipersaitas"/>
                </w:rPr>
                <w:t>Dėl mokėjimo už socialines paslaugas tvarkos aprašo patvirtinimo“</w:t>
              </w:r>
            </w:hyperlink>
            <w:r w:rsidRPr="00020695">
              <w:t>;</w:t>
            </w:r>
          </w:p>
          <w:p w14:paraId="43B38D77" w14:textId="69EBB5DE" w:rsidR="0067148E" w:rsidRPr="0067148E" w:rsidRDefault="0067148E">
            <w:pPr>
              <w:pStyle w:val="Sraopastraipa"/>
              <w:widowControl w:val="0"/>
              <w:numPr>
                <w:ilvl w:val="0"/>
                <w:numId w:val="1"/>
              </w:numPr>
              <w:ind w:left="0" w:firstLine="1134"/>
              <w:jc w:val="both"/>
            </w:pPr>
            <w:r>
              <w:t>Šilutės rajono savivaldybės tarybos 2022</w:t>
            </w:r>
            <w:r w:rsidR="005E5D3E">
              <w:t xml:space="preserve"> m. kovo </w:t>
            </w:r>
            <w:r>
              <w:t>31</w:t>
            </w:r>
            <w:r w:rsidR="005E5D3E">
              <w:t xml:space="preserve"> d.</w:t>
            </w:r>
            <w:r>
              <w:t xml:space="preserve"> sprendimas Nr. T1-954 </w:t>
            </w:r>
            <w:hyperlink r:id="rId7" w:history="1">
              <w:r w:rsidRPr="006448A6">
                <w:rPr>
                  <w:rStyle w:val="Hipersaitas"/>
                </w:rPr>
                <w:t>,,Dėl Šilutės rajono savivaldybės tarybos 2019 m. kovo 28 d. sprendimo Nr. T1-1301 ,,Dėl mokėjimo už socialines paslaugas tvarkos aprašo“ pakeitimo“.</w:t>
              </w:r>
            </w:hyperlink>
          </w:p>
          <w:p w14:paraId="753ACD03" w14:textId="12ACEF27" w:rsidR="002D3E6F" w:rsidRPr="0067148E" w:rsidRDefault="009264BA">
            <w:pPr>
              <w:pStyle w:val="Sraopastraipa"/>
              <w:widowControl w:val="0"/>
              <w:numPr>
                <w:ilvl w:val="0"/>
                <w:numId w:val="1"/>
              </w:numPr>
              <w:ind w:left="0" w:firstLine="1134"/>
              <w:jc w:val="both"/>
              <w:rPr>
                <w:rStyle w:val="Hipersaitas"/>
                <w:color w:val="00000A"/>
                <w:u w:val="none"/>
              </w:rPr>
            </w:pPr>
            <w:r>
              <w:rPr>
                <w:szCs w:val="24"/>
              </w:rPr>
              <w:t>Šilutės rajono savivaldybės tarybos 20</w:t>
            </w:r>
            <w:r w:rsidR="00E875FB">
              <w:rPr>
                <w:szCs w:val="24"/>
              </w:rPr>
              <w:t>2</w:t>
            </w:r>
            <w:r w:rsidR="009951F1">
              <w:rPr>
                <w:szCs w:val="24"/>
              </w:rPr>
              <w:t>2</w:t>
            </w:r>
            <w:r w:rsidR="005E5D3E">
              <w:rPr>
                <w:szCs w:val="24"/>
              </w:rPr>
              <w:t xml:space="preserve"> m. balandžio </w:t>
            </w:r>
            <w:r w:rsidR="009951F1">
              <w:rPr>
                <w:szCs w:val="24"/>
              </w:rPr>
              <w:t>28</w:t>
            </w:r>
            <w:r w:rsidR="005E5D3E">
              <w:rPr>
                <w:szCs w:val="24"/>
              </w:rPr>
              <w:t xml:space="preserve"> d.</w:t>
            </w:r>
            <w:r>
              <w:rPr>
                <w:szCs w:val="24"/>
              </w:rPr>
              <w:t xml:space="preserve"> sprendim</w:t>
            </w:r>
            <w:r w:rsidR="009951F1">
              <w:rPr>
                <w:szCs w:val="24"/>
              </w:rPr>
              <w:t>as</w:t>
            </w:r>
            <w:r>
              <w:rPr>
                <w:szCs w:val="24"/>
              </w:rPr>
              <w:t xml:space="preserve"> Nr.</w:t>
            </w:r>
            <w:r w:rsidR="009951F1">
              <w:rPr>
                <w:szCs w:val="24"/>
              </w:rPr>
              <w:t xml:space="preserve"> T1-1013 </w:t>
            </w:r>
            <w:r>
              <w:rPr>
                <w:szCs w:val="24"/>
              </w:rPr>
              <w:t>„</w:t>
            </w:r>
            <w:hyperlink r:id="rId8" w:history="1">
              <w:r w:rsidR="002D3E6F" w:rsidRPr="008573E4">
                <w:rPr>
                  <w:rStyle w:val="Hipersaitas"/>
                  <w:szCs w:val="24"/>
                </w:rPr>
                <w:t>Dėl Šilutės rajono savivaldybės tarybos 2019 m. kovo 28 d. sprendimo Nr. T1-1301 ,,Dėl mokėjimo už socialines paslaugas tvarkos aprašo“ pakeitimo“.</w:t>
              </w:r>
            </w:hyperlink>
          </w:p>
          <w:p w14:paraId="3A9675E7" w14:textId="0F5F550E" w:rsidR="0067148E" w:rsidRDefault="0067148E">
            <w:pPr>
              <w:pStyle w:val="Sraopastraipa"/>
              <w:widowControl w:val="0"/>
              <w:numPr>
                <w:ilvl w:val="0"/>
                <w:numId w:val="1"/>
              </w:numPr>
              <w:ind w:left="0" w:firstLine="1134"/>
              <w:jc w:val="both"/>
            </w:pPr>
            <w:r>
              <w:rPr>
                <w:szCs w:val="24"/>
              </w:rPr>
              <w:t>Šilutės rajono savivaldybės tarybos 2022</w:t>
            </w:r>
            <w:r w:rsidR="005E5D3E">
              <w:rPr>
                <w:szCs w:val="24"/>
              </w:rPr>
              <w:t xml:space="preserve"> m. spalio </w:t>
            </w:r>
            <w:r>
              <w:rPr>
                <w:szCs w:val="24"/>
              </w:rPr>
              <w:t>27</w:t>
            </w:r>
            <w:r w:rsidR="005E5D3E">
              <w:rPr>
                <w:szCs w:val="24"/>
              </w:rPr>
              <w:t xml:space="preserve"> d.</w:t>
            </w:r>
            <w:r>
              <w:rPr>
                <w:szCs w:val="24"/>
              </w:rPr>
              <w:t xml:space="preserve"> sprendimas </w:t>
            </w:r>
            <w:r w:rsidR="005E5D3E">
              <w:rPr>
                <w:szCs w:val="24"/>
              </w:rPr>
              <w:t xml:space="preserve">                      </w:t>
            </w:r>
            <w:r>
              <w:rPr>
                <w:szCs w:val="24"/>
              </w:rPr>
              <w:t xml:space="preserve">Nr. T1-1128 </w:t>
            </w:r>
            <w:r>
              <w:t>,,</w:t>
            </w:r>
            <w:hyperlink r:id="rId9" w:history="1">
              <w:r w:rsidRPr="006448A6">
                <w:rPr>
                  <w:rStyle w:val="Hipersaitas"/>
                </w:rPr>
                <w:t xml:space="preserve">Dėl Šilutės rajono savivaldybės tarybos 2019 m. kovo 28 d. sprendimo </w:t>
              </w:r>
              <w:r w:rsidR="005E5D3E">
                <w:rPr>
                  <w:rStyle w:val="Hipersaitas"/>
                </w:rPr>
                <w:t xml:space="preserve">                   </w:t>
              </w:r>
              <w:r w:rsidRPr="006448A6">
                <w:rPr>
                  <w:rStyle w:val="Hipersaitas"/>
                </w:rPr>
                <w:t>Nr. T1-1301 ,,Dėl mokėjimo už socialines paslaugas tvarkos aprašo“ pakeitimo“.</w:t>
              </w:r>
            </w:hyperlink>
          </w:p>
          <w:p w14:paraId="6BD7E89E" w14:textId="77777777" w:rsidR="002D3E6F" w:rsidRDefault="002D3E6F">
            <w:pPr>
              <w:pStyle w:val="Sraopastraipa"/>
              <w:widowControl w:val="0"/>
              <w:ind w:left="0"/>
              <w:jc w:val="both"/>
              <w:rPr>
                <w:szCs w:val="24"/>
                <w:lang w:eastAsia="lt-LT"/>
              </w:rPr>
            </w:pPr>
          </w:p>
        </w:tc>
      </w:tr>
      <w:tr w:rsidR="002D3E6F" w14:paraId="22C4CAC9" w14:textId="77777777">
        <w:tc>
          <w:tcPr>
            <w:tcW w:w="9797" w:type="dxa"/>
            <w:shd w:val="clear" w:color="auto" w:fill="auto"/>
          </w:tcPr>
          <w:p w14:paraId="1350EDF0" w14:textId="77777777" w:rsidR="002D3E6F" w:rsidRDefault="009264BA">
            <w:pPr>
              <w:widowControl w:val="0"/>
              <w:ind w:firstLine="1134"/>
              <w:jc w:val="both"/>
              <w:rPr>
                <w:b/>
                <w:bCs/>
                <w:i/>
                <w:iCs/>
              </w:rPr>
            </w:pPr>
            <w:r>
              <w:rPr>
                <w:b/>
                <w:bCs/>
                <w:i/>
                <w:iCs/>
              </w:rPr>
              <w:t>3. Kokių pozityvių rezultatų laukiama.</w:t>
            </w:r>
          </w:p>
        </w:tc>
      </w:tr>
      <w:tr w:rsidR="002D3E6F" w14:paraId="3351A12F" w14:textId="77777777">
        <w:tc>
          <w:tcPr>
            <w:tcW w:w="9797" w:type="dxa"/>
            <w:shd w:val="clear" w:color="auto" w:fill="auto"/>
          </w:tcPr>
          <w:p w14:paraId="20BDFAF7" w14:textId="2F59A453" w:rsidR="002D3E6F" w:rsidRDefault="009264BA">
            <w:pPr>
              <w:widowControl w:val="0"/>
              <w:ind w:firstLine="1134"/>
              <w:jc w:val="both"/>
            </w:pPr>
            <w:r>
              <w:t xml:space="preserve">Tvarkos aprašo, atitinkančio </w:t>
            </w:r>
            <w:r w:rsidR="00023D24">
              <w:t>L</w:t>
            </w:r>
            <w:r w:rsidR="00873AD0">
              <w:t xml:space="preserve">ietuvos </w:t>
            </w:r>
            <w:r w:rsidR="00023D24">
              <w:t>R</w:t>
            </w:r>
            <w:r w:rsidR="00873AD0">
              <w:t>espublikos</w:t>
            </w:r>
            <w:r w:rsidR="00023D24">
              <w:t xml:space="preserve"> s</w:t>
            </w:r>
            <w:r>
              <w:t>ocialin</w:t>
            </w:r>
            <w:r w:rsidR="00873AD0">
              <w:t xml:space="preserve">ių paslaugų </w:t>
            </w:r>
            <w:r>
              <w:t>įstatymo nuostatas, patvirtinimas.</w:t>
            </w:r>
          </w:p>
        </w:tc>
      </w:tr>
      <w:tr w:rsidR="002D3E6F" w14:paraId="3C099285" w14:textId="77777777">
        <w:tc>
          <w:tcPr>
            <w:tcW w:w="9797" w:type="dxa"/>
            <w:shd w:val="clear" w:color="auto" w:fill="auto"/>
          </w:tcPr>
          <w:p w14:paraId="5DA15E8A" w14:textId="77777777" w:rsidR="002D3E6F" w:rsidRDefault="002D3E6F">
            <w:pPr>
              <w:widowControl w:val="0"/>
              <w:snapToGrid w:val="0"/>
              <w:ind w:firstLine="1134"/>
              <w:jc w:val="both"/>
              <w:rPr>
                <w:i/>
                <w:iCs/>
              </w:rPr>
            </w:pPr>
          </w:p>
          <w:p w14:paraId="12B4C581" w14:textId="77777777" w:rsidR="002D3E6F" w:rsidRDefault="009264BA">
            <w:pPr>
              <w:widowControl w:val="0"/>
              <w:ind w:firstLine="1134"/>
              <w:jc w:val="both"/>
              <w:rPr>
                <w:b/>
                <w:bCs/>
                <w:i/>
                <w:iCs/>
              </w:rPr>
            </w:pPr>
            <w:r>
              <w:rPr>
                <w:b/>
                <w:bCs/>
                <w:i/>
                <w:iCs/>
              </w:rPr>
              <w:t>4. Galimos neigiamos priimto projekto pasekmės ir kokių priemonių reikėtų imtis, kad tokių pasekmių būtų išvengta.</w:t>
            </w:r>
          </w:p>
        </w:tc>
      </w:tr>
      <w:tr w:rsidR="002D3E6F" w14:paraId="77748921" w14:textId="77777777">
        <w:tc>
          <w:tcPr>
            <w:tcW w:w="9797" w:type="dxa"/>
            <w:shd w:val="clear" w:color="auto" w:fill="auto"/>
          </w:tcPr>
          <w:p w14:paraId="5646DC0C" w14:textId="77777777" w:rsidR="002D3E6F" w:rsidRDefault="009264BA">
            <w:pPr>
              <w:widowControl w:val="0"/>
              <w:ind w:firstLine="1134"/>
              <w:jc w:val="both"/>
            </w:pPr>
            <w:r>
              <w:t>Nėra.</w:t>
            </w:r>
          </w:p>
        </w:tc>
      </w:tr>
      <w:tr w:rsidR="002D3E6F" w14:paraId="7F4FC3E7" w14:textId="77777777">
        <w:tc>
          <w:tcPr>
            <w:tcW w:w="9797" w:type="dxa"/>
            <w:shd w:val="clear" w:color="auto" w:fill="auto"/>
          </w:tcPr>
          <w:p w14:paraId="4CBDAFD9" w14:textId="77777777" w:rsidR="002D3E6F" w:rsidRDefault="002D3E6F">
            <w:pPr>
              <w:widowControl w:val="0"/>
              <w:snapToGrid w:val="0"/>
              <w:ind w:firstLine="1134"/>
              <w:jc w:val="both"/>
              <w:rPr>
                <w:b/>
                <w:bCs/>
                <w:i/>
                <w:iCs/>
              </w:rPr>
            </w:pPr>
          </w:p>
          <w:p w14:paraId="240FF139" w14:textId="77777777" w:rsidR="002D3E6F" w:rsidRDefault="009264BA">
            <w:pPr>
              <w:widowControl w:val="0"/>
              <w:ind w:firstLine="1134"/>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p w14:paraId="12A5E5EF" w14:textId="77777777" w:rsidR="002D3E6F" w:rsidRDefault="002D3E6F">
            <w:pPr>
              <w:widowControl w:val="0"/>
              <w:ind w:firstLine="1134"/>
              <w:jc w:val="both"/>
              <w:rPr>
                <w:b/>
                <w:bCs/>
                <w:i/>
                <w:iCs/>
              </w:rPr>
            </w:pPr>
          </w:p>
          <w:p w14:paraId="0155014F" w14:textId="574EC22A" w:rsidR="00990F08" w:rsidRPr="00F8018F" w:rsidRDefault="00F8018F" w:rsidP="00F71099">
            <w:pPr>
              <w:pStyle w:val="Sraopastraipa"/>
              <w:widowControl w:val="0"/>
              <w:ind w:left="50"/>
              <w:jc w:val="both"/>
            </w:pPr>
            <w:r w:rsidRPr="00F8018F">
              <w:t xml:space="preserve">           </w:t>
            </w:r>
            <w:r>
              <w:t xml:space="preserve">Pripažinti netekusiu galios </w:t>
            </w:r>
            <w:r w:rsidR="00990F08" w:rsidRPr="00F8018F">
              <w:t>Šilutės rajono savivaldybės tarybos 2019</w:t>
            </w:r>
            <w:r w:rsidR="005E5D3E">
              <w:t xml:space="preserve"> m kovo </w:t>
            </w:r>
            <w:r w:rsidR="00990F08" w:rsidRPr="00F8018F">
              <w:t>28</w:t>
            </w:r>
            <w:r w:rsidR="005E5D3E">
              <w:t xml:space="preserve"> d.</w:t>
            </w:r>
            <w:r w:rsidR="00990F08" w:rsidRPr="00F8018F">
              <w:t xml:space="preserve"> </w:t>
            </w:r>
            <w:r w:rsidR="005E5D3E">
              <w:t xml:space="preserve">            </w:t>
            </w:r>
            <w:r w:rsidR="00990F08" w:rsidRPr="00F8018F">
              <w:t>sprendim</w:t>
            </w:r>
            <w:r>
              <w:t>ą</w:t>
            </w:r>
            <w:r w:rsidR="00990F08" w:rsidRPr="00F8018F">
              <w:t xml:space="preserve"> Nr. T1-1301 ,,Dėl mokėjimo už socialines paslaugas tvarkos aprašo patvirtinimo“</w:t>
            </w:r>
            <w:r>
              <w:t xml:space="preserve"> ir pakeitimus.</w:t>
            </w:r>
          </w:p>
          <w:p w14:paraId="2C4572BF" w14:textId="77777777" w:rsidR="002D3E6F" w:rsidRDefault="002D3E6F" w:rsidP="00F8018F">
            <w:pPr>
              <w:pStyle w:val="Sraopastraipa"/>
              <w:widowControl w:val="0"/>
              <w:ind w:left="1179"/>
              <w:jc w:val="both"/>
              <w:rPr>
                <w:szCs w:val="24"/>
              </w:rPr>
            </w:pPr>
          </w:p>
        </w:tc>
      </w:tr>
      <w:tr w:rsidR="002D3E6F" w14:paraId="63561D4D" w14:textId="77777777">
        <w:tc>
          <w:tcPr>
            <w:tcW w:w="9797" w:type="dxa"/>
            <w:shd w:val="clear" w:color="auto" w:fill="auto"/>
          </w:tcPr>
          <w:p w14:paraId="321B7B4E" w14:textId="77777777" w:rsidR="002D3E6F" w:rsidRDefault="009264BA">
            <w:pPr>
              <w:widowControl w:val="0"/>
              <w:ind w:firstLine="1134"/>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2D3E6F" w14:paraId="47FECAE1" w14:textId="77777777">
        <w:tc>
          <w:tcPr>
            <w:tcW w:w="9797" w:type="dxa"/>
            <w:shd w:val="clear" w:color="auto" w:fill="auto"/>
          </w:tcPr>
          <w:p w14:paraId="79AEF520" w14:textId="7C16C9A9" w:rsidR="002D3E6F" w:rsidRPr="007E53D8" w:rsidRDefault="009264BA">
            <w:pPr>
              <w:widowControl w:val="0"/>
              <w:snapToGrid w:val="0"/>
              <w:ind w:firstLine="1134"/>
              <w:jc w:val="both"/>
              <w:rPr>
                <w:color w:val="auto"/>
              </w:rPr>
            </w:pPr>
            <w:r w:rsidRPr="007E53D8">
              <w:rPr>
                <w:color w:val="auto"/>
              </w:rPr>
              <w:t>Antikorupcinis vertinimas reikalingas.</w:t>
            </w:r>
          </w:p>
        </w:tc>
      </w:tr>
      <w:tr w:rsidR="002D3E6F" w14:paraId="296F205C" w14:textId="77777777">
        <w:tc>
          <w:tcPr>
            <w:tcW w:w="9797" w:type="dxa"/>
            <w:shd w:val="clear" w:color="auto" w:fill="auto"/>
          </w:tcPr>
          <w:p w14:paraId="14B9F621" w14:textId="77777777" w:rsidR="002D3E6F" w:rsidRDefault="002D3E6F">
            <w:pPr>
              <w:widowControl w:val="0"/>
              <w:snapToGrid w:val="0"/>
              <w:ind w:firstLine="1134"/>
              <w:jc w:val="both"/>
              <w:rPr>
                <w:i/>
                <w:iCs/>
              </w:rPr>
            </w:pPr>
          </w:p>
          <w:p w14:paraId="3D24020A" w14:textId="77777777" w:rsidR="002D3E6F" w:rsidRDefault="009264BA">
            <w:pPr>
              <w:widowControl w:val="0"/>
              <w:ind w:firstLine="1134"/>
              <w:jc w:val="both"/>
              <w:rPr>
                <w:b/>
                <w:bCs/>
                <w:i/>
                <w:iCs/>
              </w:rPr>
            </w:pPr>
            <w:r>
              <w:rPr>
                <w:b/>
                <w:bCs/>
                <w:i/>
                <w:iCs/>
              </w:rPr>
              <w:t xml:space="preserve">7. Projekto rengimo metu gauti specialistų vertinimai ir išvados, ekonominiai </w:t>
            </w:r>
            <w:r>
              <w:rPr>
                <w:b/>
                <w:bCs/>
                <w:i/>
                <w:iCs/>
              </w:rPr>
              <w:lastRenderedPageBreak/>
              <w:t>apskaičiavimai (sąmatos) ir konkretūs finansavimo šaltiniai.</w:t>
            </w:r>
          </w:p>
        </w:tc>
      </w:tr>
      <w:tr w:rsidR="002D3E6F" w14:paraId="5B015112" w14:textId="77777777">
        <w:tc>
          <w:tcPr>
            <w:tcW w:w="9797" w:type="dxa"/>
            <w:shd w:val="clear" w:color="auto" w:fill="auto"/>
          </w:tcPr>
          <w:p w14:paraId="27394463" w14:textId="77777777" w:rsidR="002D3E6F" w:rsidRDefault="009264BA">
            <w:pPr>
              <w:widowControl w:val="0"/>
              <w:ind w:firstLine="1134"/>
              <w:jc w:val="both"/>
            </w:pPr>
            <w:r>
              <w:lastRenderedPageBreak/>
              <w:t>Nėra.</w:t>
            </w:r>
          </w:p>
        </w:tc>
      </w:tr>
      <w:tr w:rsidR="002D3E6F" w14:paraId="6570CBEE" w14:textId="77777777">
        <w:tc>
          <w:tcPr>
            <w:tcW w:w="9797" w:type="dxa"/>
            <w:shd w:val="clear" w:color="auto" w:fill="auto"/>
          </w:tcPr>
          <w:p w14:paraId="5C9007D6" w14:textId="77777777" w:rsidR="002D3E6F" w:rsidRDefault="002D3E6F">
            <w:pPr>
              <w:widowControl w:val="0"/>
              <w:snapToGrid w:val="0"/>
              <w:ind w:firstLine="1134"/>
              <w:jc w:val="both"/>
              <w:rPr>
                <w:b/>
                <w:bCs/>
                <w:i/>
                <w:iCs/>
              </w:rPr>
            </w:pPr>
          </w:p>
          <w:p w14:paraId="1C8996F4" w14:textId="77777777" w:rsidR="002D3E6F" w:rsidRDefault="009264BA">
            <w:pPr>
              <w:widowControl w:val="0"/>
              <w:ind w:firstLine="1134"/>
              <w:jc w:val="both"/>
              <w:rPr>
                <w:b/>
                <w:bCs/>
                <w:i/>
                <w:iCs/>
              </w:rPr>
            </w:pPr>
            <w:r>
              <w:rPr>
                <w:b/>
                <w:bCs/>
                <w:i/>
                <w:iCs/>
              </w:rPr>
              <w:t>8. Projekto autorius ar autorių grupė.</w:t>
            </w:r>
          </w:p>
        </w:tc>
      </w:tr>
      <w:tr w:rsidR="002D3E6F" w14:paraId="7FCF80BF" w14:textId="77777777">
        <w:tc>
          <w:tcPr>
            <w:tcW w:w="9797" w:type="dxa"/>
            <w:shd w:val="clear" w:color="auto" w:fill="auto"/>
          </w:tcPr>
          <w:p w14:paraId="7F5B8539" w14:textId="77777777" w:rsidR="002D3E6F" w:rsidRDefault="00705807" w:rsidP="00F60734">
            <w:pPr>
              <w:widowControl w:val="0"/>
              <w:ind w:firstLine="1134"/>
              <w:jc w:val="both"/>
              <w:rPr>
                <w:bCs/>
                <w:iCs/>
              </w:rPr>
            </w:pPr>
            <w:r>
              <w:rPr>
                <w:bCs/>
                <w:iCs/>
              </w:rPr>
              <w:t>Socialinės paramos skyriaus vedėja Audra Barauskienė, Socialinės paramos skyriaus vedėjo pavaduotoja Loreta Valienė, Socialinės paramos skyriaus vyriausiosios specialistės Vida Rimkutė, Inga Užgalienė, Aušra Barbutkienė.</w:t>
            </w:r>
            <w:r w:rsidR="00A711A5">
              <w:rPr>
                <w:bCs/>
                <w:iCs/>
              </w:rPr>
              <w:t xml:space="preserve"> </w:t>
            </w:r>
          </w:p>
          <w:p w14:paraId="13174C1C" w14:textId="11E97B4F" w:rsidR="001D5E0E" w:rsidRPr="00F60734" w:rsidRDefault="001D5E0E" w:rsidP="00F60734">
            <w:pPr>
              <w:widowControl w:val="0"/>
              <w:ind w:firstLine="1134"/>
              <w:jc w:val="both"/>
            </w:pPr>
          </w:p>
        </w:tc>
      </w:tr>
      <w:tr w:rsidR="002D3E6F" w14:paraId="6EC87126" w14:textId="77777777">
        <w:tc>
          <w:tcPr>
            <w:tcW w:w="9797" w:type="dxa"/>
            <w:shd w:val="clear" w:color="auto" w:fill="auto"/>
          </w:tcPr>
          <w:p w14:paraId="3005EFAC" w14:textId="77777777" w:rsidR="002D3E6F" w:rsidRDefault="009264BA">
            <w:pPr>
              <w:widowControl w:val="0"/>
              <w:ind w:firstLine="1134"/>
              <w:jc w:val="both"/>
              <w:rPr>
                <w:b/>
                <w:bCs/>
                <w:i/>
                <w:iCs/>
              </w:rPr>
            </w:pPr>
            <w:r>
              <w:rPr>
                <w:b/>
                <w:bCs/>
                <w:i/>
                <w:iCs/>
              </w:rPr>
              <w:t>9. Reikšminiai projekto žodžiai, kurių reikia šiam projektui įtraukti į kompiuterinę paieškos sistemą.</w:t>
            </w:r>
          </w:p>
        </w:tc>
      </w:tr>
      <w:tr w:rsidR="002D3E6F" w14:paraId="7A4E6149" w14:textId="77777777">
        <w:tc>
          <w:tcPr>
            <w:tcW w:w="9797" w:type="dxa"/>
            <w:shd w:val="clear" w:color="auto" w:fill="auto"/>
          </w:tcPr>
          <w:p w14:paraId="1AA9AC94" w14:textId="4D6566A4" w:rsidR="002D3E6F" w:rsidRDefault="009264BA">
            <w:pPr>
              <w:widowControl w:val="0"/>
              <w:ind w:firstLine="1134"/>
              <w:jc w:val="both"/>
            </w:pPr>
            <w:r>
              <w:t>Socia</w:t>
            </w:r>
            <w:r w:rsidR="00B9599C">
              <w:t>linės paslaugos, mokėjimas už socialines paslaugas</w:t>
            </w:r>
          </w:p>
        </w:tc>
      </w:tr>
      <w:tr w:rsidR="002D3E6F" w14:paraId="66C068C2" w14:textId="77777777">
        <w:tc>
          <w:tcPr>
            <w:tcW w:w="9797" w:type="dxa"/>
            <w:shd w:val="clear" w:color="auto" w:fill="auto"/>
          </w:tcPr>
          <w:p w14:paraId="2BF71E37" w14:textId="77777777" w:rsidR="002D3E6F" w:rsidRDefault="002D3E6F">
            <w:pPr>
              <w:widowControl w:val="0"/>
              <w:snapToGrid w:val="0"/>
              <w:ind w:firstLine="1134"/>
              <w:jc w:val="both"/>
              <w:rPr>
                <w:b/>
                <w:bCs/>
                <w:i/>
                <w:iCs/>
              </w:rPr>
            </w:pPr>
          </w:p>
          <w:p w14:paraId="424EDEA6" w14:textId="77777777" w:rsidR="002D3E6F" w:rsidRDefault="009264BA">
            <w:pPr>
              <w:widowControl w:val="0"/>
              <w:ind w:firstLine="1134"/>
              <w:jc w:val="both"/>
              <w:rPr>
                <w:b/>
                <w:bCs/>
                <w:i/>
                <w:iCs/>
              </w:rPr>
            </w:pPr>
            <w:r>
              <w:rPr>
                <w:b/>
                <w:bCs/>
                <w:i/>
                <w:iCs/>
              </w:rPr>
              <w:t>10. Kiti, autorių nuomone, reikalingi pagrindimai ir paaiškinimai.</w:t>
            </w:r>
          </w:p>
        </w:tc>
      </w:tr>
      <w:tr w:rsidR="002D3E6F" w14:paraId="3C45CDB2" w14:textId="77777777">
        <w:tc>
          <w:tcPr>
            <w:tcW w:w="9797" w:type="dxa"/>
            <w:shd w:val="clear" w:color="auto" w:fill="auto"/>
          </w:tcPr>
          <w:p w14:paraId="3FA48912" w14:textId="15583B36" w:rsidR="007A1CE1" w:rsidRDefault="007A1CE1">
            <w:pPr>
              <w:widowControl w:val="0"/>
              <w:tabs>
                <w:tab w:val="left" w:pos="0"/>
              </w:tabs>
              <w:snapToGrid w:val="0"/>
              <w:ind w:firstLine="1134"/>
              <w:jc w:val="both"/>
            </w:pPr>
            <w:r>
              <w:t xml:space="preserve">2024 m. liepos 1 d. įsigaliojo nauja </w:t>
            </w:r>
            <w:hyperlink r:id="rId10" w:history="1">
              <w:r w:rsidRPr="007A1CE1">
                <w:rPr>
                  <w:rStyle w:val="Hipersaitas"/>
                </w:rPr>
                <w:t>Lietuvos Respublikos socialinių paslaugų įstatymo</w:t>
              </w:r>
            </w:hyperlink>
            <w:r>
              <w:t xml:space="preserve"> redakcija, kurio 35 straipsnio 9 dalis įpareigoja savivaldybės tarybas vadovaujantis Mokėjimo už socialines paslaugas tvarkos aprašu, patvirtintu Lietuvos Respublikos socialinės apsaugos ir darbo ministro 2024 m. birželio 11 d. įsakymu Nr. A1-397 ,,</w:t>
            </w:r>
            <w:hyperlink r:id="rId11" w:history="1">
              <w:r w:rsidRPr="007A1CE1">
                <w:rPr>
                  <w:rStyle w:val="Hipersaitas"/>
                </w:rPr>
                <w:t>Dėl Mokėjimo už socialines paslaugas tvarkos aprašo patvirtinimo</w:t>
              </w:r>
            </w:hyperlink>
            <w:r>
              <w:t>“, patvirtinti savivaldybės gyventojų mokėjimo už tam tikrų rūšių socialines paslaugas tvarkos aprašą, kuriame būtų nustatyti mokėjimo už šias paslaugas dydžiai, atleidimo už šias paslaugas sąlygos ir atvejai, finansinių galimybių vertinimo ir kitos sąlygos.</w:t>
            </w:r>
          </w:p>
          <w:p w14:paraId="7AD21C14" w14:textId="037BBB6C" w:rsidR="00627D02" w:rsidRDefault="006146F3" w:rsidP="00B65D6E">
            <w:pPr>
              <w:widowControl w:val="0"/>
              <w:tabs>
                <w:tab w:val="left" w:pos="0"/>
              </w:tabs>
              <w:ind w:left="45"/>
              <w:jc w:val="both"/>
            </w:pPr>
            <w:r>
              <w:t xml:space="preserve">                 </w:t>
            </w:r>
            <w:r w:rsidR="00022140">
              <w:t xml:space="preserve">Asmenys, gaunantys individualios pagalbos teikimo išlaidų kompensacijas (iki 2023 m. gruodžio 31 d. nustatytas ir paskirtas </w:t>
            </w:r>
            <w:r w:rsidR="00B65D6E">
              <w:t>I</w:t>
            </w:r>
            <w:r w:rsidR="005E5D3E">
              <w:t>–</w:t>
            </w:r>
            <w:r w:rsidR="00B65D6E">
              <w:t xml:space="preserve">II lygio </w:t>
            </w:r>
            <w:r w:rsidR="00022140">
              <w:t>slaugos ar priežiūros (pagalbos) išlaidų tikslines kompensacijas</w:t>
            </w:r>
            <w:r w:rsidR="00B65D6E">
              <w:t xml:space="preserve"> ar iki 2018 m. gruodžio 31 d. nustatytas slaugos ar priežiūros (pagalbos) išlaidų tikslines kompensacijas)</w:t>
            </w:r>
            <w:r w:rsidR="008828DA">
              <w:t xml:space="preserve"> (toliau – IPT), mokamas pagal Lietuvos Respublikos tikslinių kompensacijų įstatymą, už socialinės priežiūros, dienos socialinės globos ir laikino atokvėpio paslaugas mokės nuo IPT 40 arba 60 procentų. Trumpalaikei ir ilgalaikei socialinei globai mokėjimo dydis pagal IPT nekeičiamas. </w:t>
            </w:r>
          </w:p>
          <w:p w14:paraId="1047DA8E" w14:textId="77777777" w:rsidR="008828DA" w:rsidRDefault="009264BA" w:rsidP="00707A7C">
            <w:pPr>
              <w:widowControl w:val="0"/>
              <w:tabs>
                <w:tab w:val="left" w:pos="0"/>
              </w:tabs>
              <w:ind w:left="720"/>
              <w:jc w:val="both"/>
              <w:rPr>
                <w:rFonts w:cs="Times New Roman"/>
                <w:bCs/>
                <w:iCs/>
              </w:rPr>
            </w:pPr>
            <w:r>
              <w:rPr>
                <w:rFonts w:cs="Times New Roman"/>
                <w:bCs/>
                <w:iCs/>
              </w:rPr>
              <w:t xml:space="preserve"> </w:t>
            </w:r>
            <w:r w:rsidR="008828DA">
              <w:rPr>
                <w:rFonts w:cs="Times New Roman"/>
                <w:bCs/>
                <w:iCs/>
              </w:rPr>
              <w:t xml:space="preserve">Mokėjimo už ilgalaikę socialinę globą dydis nustatomas atsižvelgiant į asmens pajamas, o </w:t>
            </w:r>
          </w:p>
          <w:p w14:paraId="72C01CF4" w14:textId="556EB413" w:rsidR="00B24D2E" w:rsidRDefault="008828DA" w:rsidP="008828DA">
            <w:pPr>
              <w:widowControl w:val="0"/>
              <w:tabs>
                <w:tab w:val="left" w:pos="0"/>
              </w:tabs>
              <w:jc w:val="both"/>
              <w:rPr>
                <w:rFonts w:cs="Times New Roman"/>
                <w:bCs/>
                <w:iCs/>
              </w:rPr>
            </w:pPr>
            <w:r>
              <w:rPr>
                <w:rFonts w:cs="Times New Roman"/>
                <w:bCs/>
                <w:iCs/>
              </w:rPr>
              <w:t xml:space="preserve">tais atvejais, kai asmuo pradėjo gauti ilgalaikę socialinę globą po 2007 m. sausio 1 d., – ir į asmens turtą. </w:t>
            </w:r>
            <w:r w:rsidR="00B24D2E">
              <w:rPr>
                <w:rFonts w:cs="Times New Roman"/>
                <w:bCs/>
                <w:iCs/>
              </w:rPr>
              <w:t xml:space="preserve">Nuo š. m. liepos 1 d. į asmens turtą neįskaitomos privalomas registruoti transporto priemonės, žemės ūkio technika, akcijos, obligacijos, vekseliai ir kiti vertybiniai popieriai. Pagal socialinių paslaugų įstatymo 40 straipsnio 1 dalį, vertinamas šis asmens nuosavybės teise turimas </w:t>
            </w:r>
            <w:r w:rsidR="003B056D">
              <w:rPr>
                <w:rFonts w:cs="Times New Roman"/>
                <w:bCs/>
                <w:iCs/>
              </w:rPr>
              <w:t>ar per praėjusius 24 mėnesius iki kreipimosi dėl socialinių paslaugų turėtas turtas (buvo 12 mėnesių)</w:t>
            </w:r>
            <w:r w:rsidR="00B24D2E">
              <w:rPr>
                <w:rFonts w:cs="Times New Roman"/>
                <w:bCs/>
                <w:iCs/>
              </w:rPr>
              <w:t xml:space="preserve">: statiniai, įskaitant nebaigtus statyti, žemė (įskaitant užimtą miško ir vandens telkinių), piniginės lėšos. Taip pat taikomas Socialinių paslaugų įstatymo 40 straipsnio 5 dalyje nurodytas turto normatyvas asmeniui – 50 kvadratinių metrų naudingojo būsto ploto (buvo 12 kvadratinių metrų naudingojo būsto ploto). </w:t>
            </w:r>
          </w:p>
          <w:p w14:paraId="08263181" w14:textId="1F25F8F7" w:rsidR="002D3E6F" w:rsidRDefault="003B056D" w:rsidP="008828DA">
            <w:pPr>
              <w:widowControl w:val="0"/>
              <w:tabs>
                <w:tab w:val="left" w:pos="0"/>
              </w:tabs>
              <w:jc w:val="both"/>
            </w:pPr>
            <w:r>
              <w:rPr>
                <w:rFonts w:cs="Times New Roman"/>
                <w:bCs/>
                <w:iCs/>
              </w:rPr>
              <w:t xml:space="preserve">         </w:t>
            </w:r>
            <w:r w:rsidR="00B24D2E">
              <w:rPr>
                <w:rFonts w:cs="Times New Roman"/>
                <w:bCs/>
                <w:iCs/>
              </w:rPr>
              <w:t xml:space="preserve">Savivaldybių administracijos įpareigojamos perskaičiuoti asmenų mokėjimų už socialines paslaugas dydžius.  </w:t>
            </w:r>
          </w:p>
        </w:tc>
      </w:tr>
      <w:tr w:rsidR="006146F3" w14:paraId="04B8823D" w14:textId="77777777">
        <w:tc>
          <w:tcPr>
            <w:tcW w:w="9797" w:type="dxa"/>
            <w:shd w:val="clear" w:color="auto" w:fill="auto"/>
          </w:tcPr>
          <w:p w14:paraId="1CB91DCA" w14:textId="77777777" w:rsidR="006146F3" w:rsidRDefault="006146F3" w:rsidP="00DD49DF">
            <w:pPr>
              <w:widowControl w:val="0"/>
              <w:tabs>
                <w:tab w:val="left" w:pos="0"/>
              </w:tabs>
              <w:snapToGrid w:val="0"/>
              <w:jc w:val="both"/>
            </w:pPr>
          </w:p>
        </w:tc>
      </w:tr>
    </w:tbl>
    <w:p w14:paraId="5CF10978" w14:textId="397E211D" w:rsidR="002D3E6F" w:rsidRDefault="00DD49DF">
      <w:pPr>
        <w:tabs>
          <w:tab w:val="left" w:pos="0"/>
        </w:tabs>
        <w:ind w:firstLine="1134"/>
        <w:jc w:val="both"/>
        <w:rPr>
          <w:bCs/>
        </w:rPr>
      </w:pPr>
      <w:r w:rsidRPr="0006495F">
        <w:rPr>
          <w:b/>
          <w:bCs/>
        </w:rPr>
        <w:t>P</w:t>
      </w:r>
      <w:r>
        <w:rPr>
          <w:b/>
          <w:bCs/>
        </w:rPr>
        <w:t>RIDEDAMA. L</w:t>
      </w:r>
      <w:r w:rsidRPr="0006495F">
        <w:rPr>
          <w:b/>
          <w:bCs/>
        </w:rPr>
        <w:t>yginamasis variantas</w:t>
      </w:r>
      <w:r>
        <w:rPr>
          <w:b/>
          <w:bCs/>
        </w:rPr>
        <w:t>.</w:t>
      </w:r>
    </w:p>
    <w:p w14:paraId="26051856" w14:textId="77777777" w:rsidR="002D3E6F" w:rsidRDefault="002D3E6F">
      <w:pPr>
        <w:ind w:firstLine="1134"/>
        <w:jc w:val="center"/>
        <w:rPr>
          <w:b/>
          <w:bCs/>
          <w:caps/>
        </w:rPr>
      </w:pPr>
    </w:p>
    <w:tbl>
      <w:tblPr>
        <w:tblW w:w="9888" w:type="dxa"/>
        <w:tblInd w:w="-142" w:type="dxa"/>
        <w:tblLayout w:type="fixed"/>
        <w:tblLook w:val="04A0" w:firstRow="1" w:lastRow="0" w:firstColumn="1" w:lastColumn="0" w:noHBand="0" w:noVBand="1"/>
      </w:tblPr>
      <w:tblGrid>
        <w:gridCol w:w="5123"/>
        <w:gridCol w:w="4765"/>
      </w:tblGrid>
      <w:tr w:rsidR="002D3E6F" w:rsidRPr="00960968" w14:paraId="3211B218" w14:textId="77777777">
        <w:tc>
          <w:tcPr>
            <w:tcW w:w="5122" w:type="dxa"/>
            <w:shd w:val="clear" w:color="auto" w:fill="auto"/>
          </w:tcPr>
          <w:p w14:paraId="2C83699E" w14:textId="7EF3E58B" w:rsidR="002D3E6F" w:rsidRPr="00960968" w:rsidRDefault="007D010C">
            <w:pPr>
              <w:pStyle w:val="Pagrindiniotekstotrauka3"/>
              <w:widowControl w:val="0"/>
              <w:ind w:left="0"/>
              <w:rPr>
                <w:bCs/>
                <w:sz w:val="24"/>
                <w:szCs w:val="24"/>
                <w:lang w:eastAsia="en-US"/>
              </w:rPr>
            </w:pPr>
            <w:r w:rsidRPr="00960968">
              <w:rPr>
                <w:bCs/>
                <w:sz w:val="24"/>
                <w:szCs w:val="24"/>
                <w:lang w:eastAsia="en-US"/>
              </w:rPr>
              <w:t>Socialinės paramos skyriaus vedėjo pavaduotoja</w:t>
            </w:r>
          </w:p>
        </w:tc>
        <w:tc>
          <w:tcPr>
            <w:tcW w:w="4765" w:type="dxa"/>
            <w:shd w:val="clear" w:color="auto" w:fill="auto"/>
          </w:tcPr>
          <w:p w14:paraId="4877AC16" w14:textId="5642E7DA" w:rsidR="002D3E6F" w:rsidRPr="00960968" w:rsidRDefault="007D010C">
            <w:pPr>
              <w:pStyle w:val="Pagrindiniotekstotrauka3"/>
              <w:widowControl w:val="0"/>
              <w:ind w:left="0" w:firstLine="1134"/>
              <w:jc w:val="right"/>
              <w:rPr>
                <w:sz w:val="24"/>
                <w:szCs w:val="24"/>
              </w:rPr>
            </w:pPr>
            <w:r w:rsidRPr="00960968">
              <w:rPr>
                <w:sz w:val="24"/>
                <w:szCs w:val="24"/>
              </w:rPr>
              <w:t>Loreta Valienė</w:t>
            </w:r>
          </w:p>
        </w:tc>
      </w:tr>
    </w:tbl>
    <w:p w14:paraId="6BE9FDFC" w14:textId="77777777" w:rsidR="002D3E6F" w:rsidRDefault="002D3E6F">
      <w:pPr>
        <w:tabs>
          <w:tab w:val="left" w:pos="8833"/>
        </w:tabs>
        <w:spacing w:line="276" w:lineRule="auto"/>
        <w:ind w:firstLine="5954"/>
        <w:jc w:val="both"/>
      </w:pPr>
    </w:p>
    <w:sectPr w:rsidR="002D3E6F">
      <w:pgSz w:w="11906" w:h="16838"/>
      <w:pgMar w:top="1134" w:right="567" w:bottom="1134" w:left="1701" w:header="0"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Arial Unicode M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D09C3"/>
    <w:multiLevelType w:val="multilevel"/>
    <w:tmpl w:val="7D6AA7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616C39"/>
    <w:multiLevelType w:val="multilevel"/>
    <w:tmpl w:val="41D4E6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 w15:restartNumberingAfterBreak="0">
    <w:nsid w:val="3335475F"/>
    <w:multiLevelType w:val="multilevel"/>
    <w:tmpl w:val="9780B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F06D92"/>
    <w:multiLevelType w:val="multilevel"/>
    <w:tmpl w:val="A904A9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num w:numId="1" w16cid:durableId="654263734">
    <w:abstractNumId w:val="3"/>
  </w:num>
  <w:num w:numId="2" w16cid:durableId="719983632">
    <w:abstractNumId w:val="1"/>
  </w:num>
  <w:num w:numId="3" w16cid:durableId="999769877">
    <w:abstractNumId w:val="0"/>
  </w:num>
  <w:num w:numId="4" w16cid:durableId="843083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trackRevisions/>
  <w:defaultTabStop w:val="709"/>
  <w:autoHyphenation/>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2D3E6F"/>
    <w:rsid w:val="00013358"/>
    <w:rsid w:val="00020695"/>
    <w:rsid w:val="00022140"/>
    <w:rsid w:val="00023D24"/>
    <w:rsid w:val="00036659"/>
    <w:rsid w:val="00094DAF"/>
    <w:rsid w:val="000C3126"/>
    <w:rsid w:val="000F7E0F"/>
    <w:rsid w:val="00152CD4"/>
    <w:rsid w:val="001D5E0E"/>
    <w:rsid w:val="0022663B"/>
    <w:rsid w:val="002B2096"/>
    <w:rsid w:val="002D3E6F"/>
    <w:rsid w:val="002F0382"/>
    <w:rsid w:val="002F2B29"/>
    <w:rsid w:val="003042CE"/>
    <w:rsid w:val="00312BF6"/>
    <w:rsid w:val="0032428E"/>
    <w:rsid w:val="00345F12"/>
    <w:rsid w:val="00353C67"/>
    <w:rsid w:val="0036047E"/>
    <w:rsid w:val="003A0F7F"/>
    <w:rsid w:val="003B056D"/>
    <w:rsid w:val="003F0960"/>
    <w:rsid w:val="004B2EB5"/>
    <w:rsid w:val="004C6909"/>
    <w:rsid w:val="004C6FCF"/>
    <w:rsid w:val="005420A7"/>
    <w:rsid w:val="005A0FC2"/>
    <w:rsid w:val="005E5D3E"/>
    <w:rsid w:val="00602C68"/>
    <w:rsid w:val="006050F1"/>
    <w:rsid w:val="006146F3"/>
    <w:rsid w:val="00614ADA"/>
    <w:rsid w:val="00627D02"/>
    <w:rsid w:val="006448A6"/>
    <w:rsid w:val="00663530"/>
    <w:rsid w:val="0067148E"/>
    <w:rsid w:val="0069563E"/>
    <w:rsid w:val="006B342F"/>
    <w:rsid w:val="006B4857"/>
    <w:rsid w:val="006E18FA"/>
    <w:rsid w:val="00705807"/>
    <w:rsid w:val="00707A7C"/>
    <w:rsid w:val="00752650"/>
    <w:rsid w:val="00771B17"/>
    <w:rsid w:val="007A1CE1"/>
    <w:rsid w:val="007B5E24"/>
    <w:rsid w:val="007D010C"/>
    <w:rsid w:val="007E53D8"/>
    <w:rsid w:val="008438D1"/>
    <w:rsid w:val="008573E4"/>
    <w:rsid w:val="00873AD0"/>
    <w:rsid w:val="00881232"/>
    <w:rsid w:val="00881F70"/>
    <w:rsid w:val="008828DA"/>
    <w:rsid w:val="00887C81"/>
    <w:rsid w:val="00892B3A"/>
    <w:rsid w:val="008A1FBF"/>
    <w:rsid w:val="008D21E7"/>
    <w:rsid w:val="009173B6"/>
    <w:rsid w:val="009264BA"/>
    <w:rsid w:val="00956170"/>
    <w:rsid w:val="00960968"/>
    <w:rsid w:val="00990F08"/>
    <w:rsid w:val="009951F1"/>
    <w:rsid w:val="00A10C09"/>
    <w:rsid w:val="00A711A5"/>
    <w:rsid w:val="00A75ED2"/>
    <w:rsid w:val="00A84A35"/>
    <w:rsid w:val="00AF1012"/>
    <w:rsid w:val="00B24D2E"/>
    <w:rsid w:val="00B65D6E"/>
    <w:rsid w:val="00B85D2F"/>
    <w:rsid w:val="00B9599C"/>
    <w:rsid w:val="00CB283A"/>
    <w:rsid w:val="00CC2952"/>
    <w:rsid w:val="00D91F77"/>
    <w:rsid w:val="00DB376C"/>
    <w:rsid w:val="00DD49DF"/>
    <w:rsid w:val="00E875FB"/>
    <w:rsid w:val="00EB78E1"/>
    <w:rsid w:val="00F410ED"/>
    <w:rsid w:val="00F60734"/>
    <w:rsid w:val="00F71099"/>
    <w:rsid w:val="00F8018F"/>
    <w:rsid w:val="00FC6004"/>
    <w:rsid w:val="00FC62D3"/>
    <w:rsid w:val="00FD28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F68"/>
  <w15:docId w15:val="{9D9D570B-F0E3-4A19-AF51-1399A14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0">
    <w:name w:val="WW8Num4z0"/>
    <w:qFormat/>
    <w:rPr>
      <w:b w:val="0"/>
      <w:bCs w:val="0"/>
      <w:i w:val="0"/>
      <w:iCs w:val="0"/>
      <w:color w:val="000000"/>
      <w:szCs w:val="24"/>
    </w:rPr>
  </w:style>
  <w:style w:type="character" w:customStyle="1" w:styleId="WW8Num4z1">
    <w:name w:val="WW8Num4z1"/>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WW8Num6z0">
    <w:name w:val="WW8Num6z0"/>
    <w:qFormat/>
    <w:rPr>
      <w:b w:val="0"/>
      <w:bCs w:val="0"/>
      <w:i w:val="0"/>
      <w:iCs w:val="0"/>
      <w:color w:val="000000"/>
      <w:szCs w:val="24"/>
    </w:rPr>
  </w:style>
  <w:style w:type="character" w:customStyle="1" w:styleId="WW8Num6z1">
    <w:name w:val="WW8Num6z1"/>
    <w:qFormat/>
  </w:style>
  <w:style w:type="character" w:customStyle="1" w:styleId="WW8Num7z0">
    <w:name w:val="WW8Num7z0"/>
    <w:qFormat/>
    <w:rPr>
      <w:rFonts w:ascii="Symbol" w:hAnsi="Symbol" w:cs="OpenSymbol;Arial Unicode MS"/>
      <w:szCs w:val="24"/>
    </w:rPr>
  </w:style>
  <w:style w:type="character" w:customStyle="1" w:styleId="WW8Num7z1">
    <w:name w:val="WW8Num7z1"/>
    <w:qFormat/>
    <w:rPr>
      <w:rFonts w:ascii="OpenSymbol;Arial Unicode MS" w:hAnsi="OpenSymbol;Arial Unicode MS" w:cs="OpenSymbol;Arial Unicode MS"/>
    </w:rPr>
  </w:style>
  <w:style w:type="character" w:customStyle="1" w:styleId="WW8Num5z0">
    <w:name w:val="WW8Num5z0"/>
    <w:qFormat/>
    <w:rPr>
      <w:bCs/>
      <w:iCs/>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antrat">
    <w:name w:val="Subtitle"/>
    <w:basedOn w:val="prastasis"/>
    <w:uiPriority w:val="11"/>
    <w:qFormat/>
    <w:pPr>
      <w:tabs>
        <w:tab w:val="left" w:pos="567"/>
      </w:tabs>
      <w:jc w:val="center"/>
    </w:pPr>
    <w:rPr>
      <w:b/>
      <w:bCs/>
    </w:rPr>
  </w:style>
  <w:style w:type="paragraph" w:styleId="Sraopastraipa">
    <w:name w:val="List Paragraph"/>
    <w:basedOn w:val="prastasis"/>
    <w:qFormat/>
    <w:pPr>
      <w:suppressAutoHyphens w:val="0"/>
      <w:ind w:left="720"/>
      <w:contextualSpacing/>
    </w:pPr>
    <w:rPr>
      <w:rFonts w:cs="Times New Roman"/>
      <w:szCs w:val="20"/>
    </w:rPr>
  </w:style>
  <w:style w:type="paragraph" w:styleId="Pagrindiniotekstotrauka3">
    <w:name w:val="Body Text Indent 3"/>
    <w:basedOn w:val="prastasis"/>
    <w:qFormat/>
    <w:pPr>
      <w:spacing w:after="120"/>
      <w:ind w:left="283"/>
    </w:pPr>
    <w:rPr>
      <w:sz w:val="16"/>
      <w:szCs w:val="16"/>
    </w:rPr>
  </w:style>
  <w:style w:type="numbering" w:customStyle="1" w:styleId="WW8Num4">
    <w:name w:val="WW8Num4"/>
    <w:qFormat/>
  </w:style>
  <w:style w:type="numbering" w:customStyle="1" w:styleId="WW8Num6">
    <w:name w:val="WW8Num6"/>
    <w:qFormat/>
  </w:style>
  <w:style w:type="numbering" w:customStyle="1" w:styleId="WW8Num7">
    <w:name w:val="WW8Num7"/>
    <w:qFormat/>
  </w:style>
  <w:style w:type="numbering" w:customStyle="1" w:styleId="WW8Num5">
    <w:name w:val="WW8Num5"/>
    <w:qFormat/>
  </w:style>
  <w:style w:type="numbering" w:customStyle="1" w:styleId="WW8Num8">
    <w:name w:val="WW8Num8"/>
    <w:qFormat/>
  </w:style>
  <w:style w:type="character" w:styleId="Hipersaitas">
    <w:name w:val="Hyperlink"/>
    <w:basedOn w:val="Numatytasispastraiposriftas"/>
    <w:uiPriority w:val="99"/>
    <w:unhideWhenUsed/>
    <w:rsid w:val="00956170"/>
    <w:rPr>
      <w:color w:val="0563C1" w:themeColor="hyperlink"/>
      <w:u w:val="single"/>
    </w:rPr>
  </w:style>
  <w:style w:type="character" w:styleId="Neapdorotaspaminjimas">
    <w:name w:val="Unresolved Mention"/>
    <w:basedOn w:val="Numatytasispastraiposriftas"/>
    <w:uiPriority w:val="99"/>
    <w:semiHidden/>
    <w:unhideWhenUsed/>
    <w:rsid w:val="00956170"/>
    <w:rPr>
      <w:color w:val="605E5C"/>
      <w:shd w:val="clear" w:color="auto" w:fill="E1DFDD"/>
    </w:rPr>
  </w:style>
  <w:style w:type="character" w:styleId="Perirtashipersaitas">
    <w:name w:val="FollowedHyperlink"/>
    <w:basedOn w:val="Numatytasispastraiposriftas"/>
    <w:uiPriority w:val="99"/>
    <w:semiHidden/>
    <w:unhideWhenUsed/>
    <w:rsid w:val="008573E4"/>
    <w:rPr>
      <w:color w:val="954F72" w:themeColor="followedHyperlink"/>
      <w:u w:val="single"/>
    </w:rPr>
  </w:style>
  <w:style w:type="paragraph" w:styleId="Pataisymai">
    <w:name w:val="Revision"/>
    <w:hidden/>
    <w:uiPriority w:val="99"/>
    <w:semiHidden/>
    <w:rsid w:val="005E5D3E"/>
    <w:pPr>
      <w:suppressAutoHyphens w:val="0"/>
    </w:pPr>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28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silute/document/525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isineinformacija.lt/silute/document/45738" TargetMode="External"/><Relationship Id="rId11" Type="http://schemas.openxmlformats.org/officeDocument/2006/relationships/hyperlink" Target="https://e-seimas.lrs.lt/portal/legalAct/lt/TAD/7d26ce02282911efb121d2fe3a0eff27?jfwid=-acsb6k5io" TargetMode="External"/><Relationship Id="rId5" Type="http://schemas.openxmlformats.org/officeDocument/2006/relationships/hyperlink" Target="https://e-seimas.lrs.lt/portal/legalAct/lt/TAD/TAIS.433088/asr" TargetMode="External"/><Relationship Id="rId10" Type="http://schemas.openxmlformats.org/officeDocument/2006/relationships/hyperlink" Target="https://e-seimas.lrs.lt/portal/legalAct/lt/TAD/TAIS.270342/asr" TargetMode="External"/><Relationship Id="rId4" Type="http://schemas.openxmlformats.org/officeDocument/2006/relationships/webSettings" Target="webSettings.xml"/><Relationship Id="rId9" Type="http://schemas.openxmlformats.org/officeDocument/2006/relationships/hyperlink" Target="https://teisineinformacija.lt/silute/document/536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4B74A6-DF9D-4F55-A992-92D92273E6A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318</TotalTime>
  <Pages>2</Pages>
  <Words>3928</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Loreta Valienė</cp:lastModifiedBy>
  <cp:revision>64</cp:revision>
  <cp:lastPrinted>2024-07-29T07:33:00Z</cp:lastPrinted>
  <dcterms:created xsi:type="dcterms:W3CDTF">2020-05-07T15:33:00Z</dcterms:created>
  <dcterms:modified xsi:type="dcterms:W3CDTF">2024-10-21T13:36:00Z</dcterms:modified>
  <dc:language>lt-LT</dc:language>
</cp:coreProperties>
</file>