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265B5C39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1625B1">
        <w:t>3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04AA7C75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850905">
        <w:t>3</w:t>
      </w:r>
      <w:r w:rsidR="00EE1AF1">
        <w:t>), esantis</w:t>
      </w:r>
      <w:r w:rsidR="001F6B39">
        <w:t xml:space="preserve"> 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1F6B39">
        <w:t xml:space="preserve">Šilutės </w:t>
      </w:r>
      <w:r w:rsidR="007B63BC">
        <w:t xml:space="preserve">Hugo </w:t>
      </w:r>
      <w:r w:rsidR="001F6B39">
        <w:t xml:space="preserve">Šojaus dvaro </w:t>
      </w:r>
      <w:r w:rsidR="002D79C5">
        <w:t>teritorijoj</w:t>
      </w:r>
      <w:r w:rsidR="001F6B39">
        <w:t xml:space="preserve">e, </w:t>
      </w:r>
      <w:r w:rsidR="00EE1AF1">
        <w:t>inventorinis Nr. 1202201 4448</w:t>
      </w:r>
      <w:r w:rsidR="00B872C0">
        <w:t>8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BC32A9">
        <w:t xml:space="preserve"> Patalpos planas pridedamas.</w:t>
      </w:r>
    </w:p>
    <w:p w14:paraId="078289DB" w14:textId="0D590526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 xml:space="preserve">prekybai </w:t>
      </w:r>
      <w:r w:rsidR="005509F1" w:rsidRPr="005509F1">
        <w:t xml:space="preserve">žuvimi (šviežia, šaldyta, rūkyta), žuvies produktais, maisto produktais, gėrimais, kulinarinio paveldo produktais, amatininkų gaminiais, reprezentuojančiais Šilutės kraštą ir Mažąją Lietuvą. </w:t>
      </w:r>
      <w:r w:rsidR="00D03B2B">
        <w:t xml:space="preserve"> </w:t>
      </w:r>
    </w:p>
    <w:p w14:paraId="3F104468" w14:textId="57825C4B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417793">
        <w:t>35,00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F1B94D8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5509F1">
        <w:rPr>
          <w:szCs w:val="24"/>
        </w:rPr>
        <w:t xml:space="preserve">laikotarpiui nuo 2024 m. gruodžio </w:t>
      </w:r>
      <w:r w:rsidR="00417793">
        <w:rPr>
          <w:szCs w:val="24"/>
        </w:rPr>
        <w:t>1</w:t>
      </w:r>
      <w:r w:rsidR="005509F1">
        <w:rPr>
          <w:szCs w:val="24"/>
        </w:rPr>
        <w:t xml:space="preserve">1 d. iki 2025 m. vasario 28 d. </w:t>
      </w:r>
    </w:p>
    <w:p w14:paraId="63C7E176" w14:textId="6723EB02" w:rsidR="00A963EE" w:rsidRDefault="007F518D" w:rsidP="00B872C0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417793">
        <w:t>gruodžio 2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</w:t>
      </w:r>
      <w:r w:rsidR="00B872C0">
        <w:t xml:space="preserve"> (registruoja vieno langelio principu dirbantys specialistai).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8511C2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1283FB28" w:rsidR="00A963EE" w:rsidRPr="00E451F9" w:rsidRDefault="00B872C0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8030E9">
        <w:t xml:space="preserve"> lapkričio </w:t>
      </w:r>
      <w:r w:rsidR="00417793">
        <w:t>22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5509F1">
        <w:t xml:space="preserve">lapkričio </w:t>
      </w:r>
      <w:r w:rsidR="00417793">
        <w:t>29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5A7F12FF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B872C0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417793">
        <w:rPr>
          <w:szCs w:val="24"/>
        </w:rPr>
        <w:t>gruodžio 2</w:t>
      </w:r>
      <w:r w:rsidR="005509F1">
        <w:rPr>
          <w:szCs w:val="24"/>
        </w:rPr>
        <w:t xml:space="preserve"> 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1625B1">
        <w:rPr>
          <w:szCs w:val="24"/>
        </w:rPr>
        <w:t>30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6837FE59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B872C0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</w:t>
      </w:r>
      <w:r w:rsidR="00B872C0">
        <w:t xml:space="preserve"> </w:t>
      </w:r>
      <w:r w:rsidR="00F61301">
        <w:t>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B872C0">
        <w:t xml:space="preserve">+370 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45C929ED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B872C0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8030E9">
        <w:t xml:space="preserve">lapkričio </w:t>
      </w:r>
      <w:r w:rsidR="00417793">
        <w:t>21</w:t>
      </w:r>
      <w:r w:rsidR="00B37334">
        <w:t xml:space="preserve"> </w:t>
      </w:r>
      <w:r w:rsidR="00C12CA6">
        <w:t>d.</w:t>
      </w:r>
      <w:r>
        <w:t xml:space="preserve"> laikraštyje ,,Šil</w:t>
      </w:r>
      <w:r w:rsidR="00417793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E48CA" w14:textId="77777777" w:rsidR="00C40ECA" w:rsidRDefault="00C40ECA">
      <w:r>
        <w:separator/>
      </w:r>
    </w:p>
  </w:endnote>
  <w:endnote w:type="continuationSeparator" w:id="0">
    <w:p w14:paraId="4B3A54F5" w14:textId="77777777" w:rsidR="00C40ECA" w:rsidRDefault="00C4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7AA17" w14:textId="77777777" w:rsidR="00C40ECA" w:rsidRDefault="00C40ECA">
      <w:r>
        <w:separator/>
      </w:r>
    </w:p>
  </w:footnote>
  <w:footnote w:type="continuationSeparator" w:id="0">
    <w:p w14:paraId="4C6B2AB1" w14:textId="77777777" w:rsidR="00C40ECA" w:rsidRDefault="00C4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179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E7D7B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25B1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37BB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0EF2"/>
    <w:rsid w:val="001E4C4B"/>
    <w:rsid w:val="001E5A9B"/>
    <w:rsid w:val="001E5AB5"/>
    <w:rsid w:val="001E714F"/>
    <w:rsid w:val="001E736C"/>
    <w:rsid w:val="001F0579"/>
    <w:rsid w:val="001F125F"/>
    <w:rsid w:val="001F24A5"/>
    <w:rsid w:val="001F6B39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75FC0"/>
    <w:rsid w:val="00280110"/>
    <w:rsid w:val="0028097C"/>
    <w:rsid w:val="00280CBE"/>
    <w:rsid w:val="002832EA"/>
    <w:rsid w:val="00287F34"/>
    <w:rsid w:val="00293F15"/>
    <w:rsid w:val="00294F28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E08"/>
    <w:rsid w:val="002B7FF3"/>
    <w:rsid w:val="002C089F"/>
    <w:rsid w:val="002C18DA"/>
    <w:rsid w:val="002C205C"/>
    <w:rsid w:val="002C2A14"/>
    <w:rsid w:val="002C2CE5"/>
    <w:rsid w:val="002C712B"/>
    <w:rsid w:val="002D0771"/>
    <w:rsid w:val="002D4B49"/>
    <w:rsid w:val="002D566E"/>
    <w:rsid w:val="002D74ED"/>
    <w:rsid w:val="002D79C5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52A7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17793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E6D"/>
    <w:rsid w:val="004E6E66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45A05"/>
    <w:rsid w:val="005509F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45FE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264D7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377F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6C8A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4741"/>
    <w:rsid w:val="007B63BC"/>
    <w:rsid w:val="007B69B2"/>
    <w:rsid w:val="007B6BF6"/>
    <w:rsid w:val="007C091A"/>
    <w:rsid w:val="007C13BD"/>
    <w:rsid w:val="007C2B5A"/>
    <w:rsid w:val="007C7FCB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0E9"/>
    <w:rsid w:val="00803251"/>
    <w:rsid w:val="00804E5D"/>
    <w:rsid w:val="00807515"/>
    <w:rsid w:val="008117E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905"/>
    <w:rsid w:val="00850BE6"/>
    <w:rsid w:val="008511C2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47A08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3253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872C0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32A9"/>
    <w:rsid w:val="00BC5B85"/>
    <w:rsid w:val="00BC6DAF"/>
    <w:rsid w:val="00BD33A6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0ECA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4316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4381"/>
    <w:rsid w:val="00CB52AF"/>
    <w:rsid w:val="00CB79AF"/>
    <w:rsid w:val="00CC1DCE"/>
    <w:rsid w:val="00CC39CF"/>
    <w:rsid w:val="00CC4CD3"/>
    <w:rsid w:val="00CD3A89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6681C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6B1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C30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4B1B"/>
    <w:rsid w:val="00FB53EB"/>
    <w:rsid w:val="00FC248C"/>
    <w:rsid w:val="00FC51F1"/>
    <w:rsid w:val="00FD225F"/>
    <w:rsid w:val="00FD3B0C"/>
    <w:rsid w:val="00FD4411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3174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109</cp:revision>
  <cp:lastPrinted>2021-09-09T11:31:00Z</cp:lastPrinted>
  <dcterms:created xsi:type="dcterms:W3CDTF">2021-06-18T11:05:00Z</dcterms:created>
  <dcterms:modified xsi:type="dcterms:W3CDTF">2024-11-19T08:44:00Z</dcterms:modified>
</cp:coreProperties>
</file>