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6CCB" w14:textId="77777777" w:rsidR="00681367" w:rsidRDefault="00681367" w:rsidP="00681367">
      <w:pPr>
        <w:pStyle w:val="Pavadinimas"/>
      </w:pPr>
      <w:r>
        <w:t>ŠILUTĖS RAJONO SAVIVALDYBĖS ADMINISTRACIJOS</w:t>
      </w:r>
    </w:p>
    <w:p w14:paraId="45B66DCE" w14:textId="77777777" w:rsidR="00681367" w:rsidRDefault="00681367" w:rsidP="00681367">
      <w:pPr>
        <w:pStyle w:val="Pavadinimas"/>
      </w:pPr>
      <w:r>
        <w:t>ŪKIO SKYRIUS</w:t>
      </w:r>
    </w:p>
    <w:p w14:paraId="029F4B4F" w14:textId="77777777" w:rsidR="00681367" w:rsidRDefault="00681367" w:rsidP="00681367">
      <w:pPr>
        <w:pStyle w:val="Paantrat"/>
      </w:pPr>
    </w:p>
    <w:p w14:paraId="3418D683" w14:textId="77777777" w:rsidR="00681367" w:rsidRDefault="00681367" w:rsidP="00681367">
      <w:pPr>
        <w:pStyle w:val="Paantrat"/>
        <w:rPr>
          <w:caps/>
        </w:rPr>
      </w:pPr>
      <w:r>
        <w:t>AIŠKINAMASIS RAŠTAS</w:t>
      </w:r>
    </w:p>
    <w:p w14:paraId="6C3DEC10" w14:textId="3B47C765" w:rsidR="00171A9D" w:rsidRPr="00133212" w:rsidRDefault="0058084E" w:rsidP="00171A9D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  <w:r>
        <w:rPr>
          <w:b/>
          <w:lang w:eastAsia="lt-LT"/>
        </w:rPr>
        <w:t>DĖL TARYBOS SPRENDIMO „</w:t>
      </w:r>
      <w:r w:rsidR="009E100E" w:rsidRPr="009E100E">
        <w:rPr>
          <w:b/>
          <w:lang w:eastAsia="lt-LT"/>
        </w:rPr>
        <w:t>DĖL VIEŠŲJŲ PASLAUGŲ TEIKIMO VIETINIO (MIESTO IR PRIEMIESTINIO) SUSISIEKIMO MARŠRUTAIS ŠILUTĖS RAJONO SAVIVALDYBĖJE TVARKOS APRAŠO PATVIRTINIMO</w:t>
      </w:r>
      <w:r w:rsidR="00171A9D" w:rsidRPr="00133212">
        <w:rPr>
          <w:b/>
          <w:bCs/>
          <w:lang w:eastAsia="lt-LT"/>
        </w:rPr>
        <w:t>“</w:t>
      </w:r>
      <w:r w:rsidR="00171A9D" w:rsidRPr="00133212">
        <w:rPr>
          <w:b/>
          <w:lang w:eastAsia="lt-LT"/>
        </w:rPr>
        <w:t xml:space="preserve"> PROJEKTO</w:t>
      </w:r>
    </w:p>
    <w:p w14:paraId="726D8DDE" w14:textId="77777777" w:rsidR="00681367" w:rsidRDefault="00681367" w:rsidP="00681367">
      <w:pPr>
        <w:jc w:val="center"/>
        <w:rPr>
          <w:b/>
          <w:bCs/>
          <w:caps/>
        </w:rPr>
      </w:pPr>
    </w:p>
    <w:p w14:paraId="6FE8638C" w14:textId="0B0B9DB0" w:rsidR="00681367" w:rsidRDefault="00681367" w:rsidP="00681367">
      <w:pPr>
        <w:tabs>
          <w:tab w:val="left" w:pos="567"/>
        </w:tabs>
        <w:jc w:val="center"/>
      </w:pPr>
      <w:r>
        <w:t>202</w:t>
      </w:r>
      <w:r w:rsidR="0001337D">
        <w:t>6</w:t>
      </w:r>
      <w:r>
        <w:t xml:space="preserve"> m. </w:t>
      </w:r>
      <w:r w:rsidR="0001337D">
        <w:t>birželio 9</w:t>
      </w:r>
      <w:r w:rsidR="00281B34">
        <w:t xml:space="preserve"> </w:t>
      </w:r>
      <w:r>
        <w:t>d.</w:t>
      </w:r>
    </w:p>
    <w:p w14:paraId="413FF343" w14:textId="77777777" w:rsidR="00681367" w:rsidRDefault="00681367" w:rsidP="00681367">
      <w:pPr>
        <w:tabs>
          <w:tab w:val="left" w:pos="0"/>
        </w:tabs>
        <w:jc w:val="center"/>
      </w:pPr>
      <w:r>
        <w:t>Šilutė</w:t>
      </w:r>
    </w:p>
    <w:p w14:paraId="4D641F7D" w14:textId="77777777" w:rsidR="00681367" w:rsidRDefault="00681367" w:rsidP="00681367">
      <w:pPr>
        <w:tabs>
          <w:tab w:val="left" w:pos="567"/>
        </w:tabs>
        <w:ind w:left="567"/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9854"/>
      </w:tblGrid>
      <w:tr w:rsidR="00681367" w14:paraId="574723DE" w14:textId="77777777" w:rsidTr="00681367">
        <w:tc>
          <w:tcPr>
            <w:tcW w:w="9854" w:type="dxa"/>
            <w:hideMark/>
          </w:tcPr>
          <w:p w14:paraId="1518E990" w14:textId="77777777" w:rsidR="0085343F" w:rsidRDefault="00681367" w:rsidP="0085343F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  <w:p w14:paraId="72020CF4" w14:textId="77777777" w:rsidR="00673B75" w:rsidRDefault="00673B75" w:rsidP="0085343F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  <w:p w14:paraId="73BD9515" w14:textId="3EBAE46F" w:rsidR="00A40C75" w:rsidRDefault="00673B75" w:rsidP="00A40C75">
            <w:pPr>
              <w:autoSpaceDN w:val="0"/>
              <w:ind w:firstLine="601"/>
              <w:contextualSpacing/>
              <w:jc w:val="both"/>
              <w:rPr>
                <w:bCs/>
                <w:lang w:eastAsia="lt-LT"/>
              </w:rPr>
            </w:pPr>
            <w:r w:rsidRPr="00673B75">
              <w:rPr>
                <w:b/>
                <w:lang w:eastAsia="lt-LT"/>
              </w:rPr>
              <w:t>Sprendimo projekto tikslas</w:t>
            </w:r>
            <w:r>
              <w:rPr>
                <w:bCs/>
                <w:lang w:eastAsia="lt-LT"/>
              </w:rPr>
              <w:t xml:space="preserve"> </w:t>
            </w:r>
            <w:r w:rsidR="00A11B9B">
              <w:rPr>
                <w:bCs/>
                <w:lang w:eastAsia="lt-LT"/>
              </w:rPr>
              <w:t xml:space="preserve">– </w:t>
            </w:r>
            <w:r w:rsidRPr="00673B75">
              <w:rPr>
                <w:bCs/>
                <w:lang w:eastAsia="lt-LT"/>
              </w:rPr>
              <w:t>patvirtinti Viešųjų paslaugų teikimo vietinio (miesto ir priemiestinio) susisiekimo maršrutais Šilutės rajono savivaldybėje tvarkos aprašą.</w:t>
            </w:r>
          </w:p>
          <w:p w14:paraId="79C24CDC" w14:textId="583F579C" w:rsidR="00A862D5" w:rsidRDefault="00673B75" w:rsidP="00A40C75">
            <w:pPr>
              <w:autoSpaceDN w:val="0"/>
              <w:ind w:firstLine="601"/>
              <w:contextualSpacing/>
              <w:jc w:val="both"/>
              <w:rPr>
                <w:bCs/>
                <w:lang w:eastAsia="lt-LT"/>
              </w:rPr>
            </w:pPr>
            <w:r w:rsidRPr="00673B75">
              <w:rPr>
                <w:b/>
                <w:lang w:eastAsia="lt-LT"/>
              </w:rPr>
              <w:t>Projekto uždaviniai</w:t>
            </w:r>
            <w:r w:rsidRPr="00673B75">
              <w:rPr>
                <w:bCs/>
                <w:lang w:eastAsia="lt-LT"/>
              </w:rPr>
              <w:t xml:space="preserve"> – nustatyti keleivių vežimo viešųjų paslaugų organizavimo, administravimo, planavimo, vežėjų parinkimo, viešųjų paslaugų sutarčių sudarymo ir vykdymo priežiūros, paslaugų kokybės vertinimo ir finansavimo principus, keleivių, bagažo, gyvūnų, dviračių ir </w:t>
            </w:r>
            <w:proofErr w:type="spellStart"/>
            <w:r w:rsidRPr="00673B75">
              <w:rPr>
                <w:bCs/>
                <w:lang w:eastAsia="lt-LT"/>
              </w:rPr>
              <w:t>mikromobilumo</w:t>
            </w:r>
            <w:proofErr w:type="spellEnd"/>
            <w:r w:rsidRPr="00673B75">
              <w:rPr>
                <w:bCs/>
                <w:lang w:eastAsia="lt-LT"/>
              </w:rPr>
              <w:t xml:space="preserve"> transporto priemonių vežimo tvarką, autobusų stočių ir stotelių naudojimo tvarką, keleivių, vežėjų ir vairuotojų teises bei pareigas Šilutės rajono savivaldybėje.</w:t>
            </w:r>
          </w:p>
          <w:p w14:paraId="702E1D25" w14:textId="77777777" w:rsidR="00673B75" w:rsidRDefault="00673B75" w:rsidP="00A40C75">
            <w:pPr>
              <w:autoSpaceDN w:val="0"/>
              <w:ind w:firstLine="601"/>
              <w:contextualSpacing/>
              <w:jc w:val="both"/>
              <w:rPr>
                <w:bCs/>
                <w:lang w:eastAsia="lt-LT"/>
              </w:rPr>
            </w:pPr>
          </w:p>
          <w:p w14:paraId="77C4E30B" w14:textId="565057B0" w:rsidR="00673B75" w:rsidRPr="00A862D5" w:rsidRDefault="00673B75" w:rsidP="00A40C75">
            <w:pPr>
              <w:autoSpaceDN w:val="0"/>
              <w:ind w:firstLine="601"/>
              <w:contextualSpacing/>
              <w:jc w:val="both"/>
              <w:rPr>
                <w:bCs/>
                <w:lang w:eastAsia="lt-LT"/>
              </w:rPr>
            </w:pPr>
          </w:p>
        </w:tc>
      </w:tr>
      <w:tr w:rsidR="00681367" w14:paraId="7BC0F12F" w14:textId="77777777" w:rsidTr="00681367">
        <w:tc>
          <w:tcPr>
            <w:tcW w:w="9854" w:type="dxa"/>
            <w:hideMark/>
          </w:tcPr>
          <w:p w14:paraId="5F37D3B0" w14:textId="77777777" w:rsidR="00681367" w:rsidRDefault="00681367" w:rsidP="00A11B9B">
            <w:pPr>
              <w:jc w:val="both"/>
            </w:pPr>
          </w:p>
        </w:tc>
      </w:tr>
      <w:tr w:rsidR="00681367" w14:paraId="53ED8A40" w14:textId="77777777" w:rsidTr="00681367">
        <w:tc>
          <w:tcPr>
            <w:tcW w:w="9854" w:type="dxa"/>
            <w:hideMark/>
          </w:tcPr>
          <w:p w14:paraId="4DBF158E" w14:textId="77777777" w:rsidR="00086F1F" w:rsidRDefault="00681367" w:rsidP="00DD51CA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  <w:p w14:paraId="01B199D6" w14:textId="77777777" w:rsidR="00673B75" w:rsidRDefault="00673B75" w:rsidP="00DD51CA">
            <w:pPr>
              <w:tabs>
                <w:tab w:val="left" w:pos="0"/>
              </w:tabs>
              <w:rPr>
                <w:b/>
                <w:bCs/>
                <w:i/>
                <w:iCs/>
              </w:rPr>
            </w:pPr>
          </w:p>
          <w:p w14:paraId="78696BBD" w14:textId="356CBB51" w:rsidR="00673B75" w:rsidRDefault="00673B75" w:rsidP="00673B75">
            <w:pPr>
              <w:tabs>
                <w:tab w:val="left" w:pos="0"/>
              </w:tabs>
              <w:ind w:firstLine="599"/>
              <w:jc w:val="both"/>
            </w:pPr>
            <w:r w:rsidRPr="007D49C5">
              <w:t>Šiuo metu Šilutės rajono savivaldybėje galioja Šilutės rajono savivaldybės tarybos 2024 m. gegužės 30 d. sprendimu Nr. T1-418 „Dėl Viešųjų paslaugų teikimo vietinio (miesto ir priemiestinio) susisiekimo maršrutais Šilutės rajono savivaldybėje tvarkos aprašo patvirtinimo“ patvirtintas tvarkos aprašas.</w:t>
            </w:r>
          </w:p>
          <w:p w14:paraId="19FB36F1" w14:textId="6D61F075" w:rsidR="00673B75" w:rsidRDefault="007D49C5" w:rsidP="00673B75">
            <w:pPr>
              <w:tabs>
                <w:tab w:val="left" w:pos="0"/>
              </w:tabs>
              <w:ind w:firstLine="599"/>
              <w:jc w:val="both"/>
            </w:pPr>
            <w:r w:rsidRPr="007D49C5">
              <w:t xml:space="preserve">Naujas tvarkos aprašas rengiamas siekiant suderinti Savivaldybės teisinį reguliavimą su nuo 2026 m. birželio 1 d. įsigaliojusiu Keleivių vežimo viešųjų paslaugų teikimo administravimo tvarkos aprašu, patvirtintu Lietuvos Respublikos susisiekimo ministro 2026 m. kovo 31 d. įsakymu </w:t>
            </w:r>
            <w:r w:rsidR="002B6523">
              <w:t xml:space="preserve">                      </w:t>
            </w:r>
            <w:r w:rsidRPr="007D49C5">
              <w:t>Nr. 3-150</w:t>
            </w:r>
            <w:r w:rsidR="002B6523">
              <w:t>, ir</w:t>
            </w:r>
            <w:r w:rsidRPr="007D49C5">
              <w:t xml:space="preserve"> kitais keleivių vežimą reglamentuojančiais teisės aktais.</w:t>
            </w:r>
          </w:p>
          <w:p w14:paraId="7F8A98EB" w14:textId="541E8638" w:rsidR="007D49C5" w:rsidRDefault="007D49C5" w:rsidP="00673B75">
            <w:pPr>
              <w:tabs>
                <w:tab w:val="left" w:pos="0"/>
              </w:tabs>
              <w:ind w:firstLine="599"/>
              <w:jc w:val="both"/>
            </w:pPr>
            <w:r w:rsidRPr="007D49C5">
              <w:t>Priėmus sprendimą, neteks galios Šilutės rajono savivaldybės tarybos 2024 m. gegužės 30 d. sprendimas Nr. T1-418 „Dėl Viešųjų paslaugų teikimo vietinio (miesto ir priemiestinio) susisiekimo maršrutais Šilutės rajono savivaldybėje tvarkos aprašo patvirtinimo“.</w:t>
            </w:r>
          </w:p>
          <w:p w14:paraId="7608B081" w14:textId="681D6F8C" w:rsidR="007D49C5" w:rsidRPr="007D49C5" w:rsidRDefault="007D49C5" w:rsidP="00673B75">
            <w:pPr>
              <w:tabs>
                <w:tab w:val="left" w:pos="0"/>
              </w:tabs>
              <w:ind w:firstLine="599"/>
              <w:jc w:val="both"/>
              <w:rPr>
                <w:b/>
                <w:bCs/>
              </w:rPr>
            </w:pPr>
            <w:r w:rsidRPr="007D49C5">
              <w:rPr>
                <w:b/>
                <w:bCs/>
              </w:rPr>
              <w:t>Sprendimo projektas parengtas vadovaujantis:</w:t>
            </w:r>
          </w:p>
          <w:p w14:paraId="7CD8D523" w14:textId="077BCC1A" w:rsidR="007D49C5" w:rsidRDefault="007D49C5" w:rsidP="007D49C5">
            <w:pPr>
              <w:pStyle w:val="Sraopastraipa"/>
              <w:numPr>
                <w:ilvl w:val="0"/>
                <w:numId w:val="4"/>
              </w:numPr>
              <w:tabs>
                <w:tab w:val="left" w:pos="0"/>
              </w:tabs>
              <w:ind w:left="0" w:firstLine="599"/>
              <w:jc w:val="both"/>
            </w:pPr>
            <w:r w:rsidRPr="007D49C5">
              <w:t>Lietuvos Respublikos vietos savivaldos įstatymu;</w:t>
            </w:r>
          </w:p>
          <w:p w14:paraId="32498CCF" w14:textId="3947DED9" w:rsidR="007D49C5" w:rsidRDefault="007D49C5" w:rsidP="007D49C5">
            <w:pPr>
              <w:pStyle w:val="Sraopastraipa"/>
              <w:numPr>
                <w:ilvl w:val="0"/>
                <w:numId w:val="4"/>
              </w:numPr>
              <w:tabs>
                <w:tab w:val="left" w:pos="0"/>
              </w:tabs>
              <w:ind w:left="0" w:firstLine="599"/>
              <w:jc w:val="both"/>
            </w:pPr>
            <w:r w:rsidRPr="007D49C5">
              <w:t>Lietuvos Respublikos kelių transporto kodeksu;</w:t>
            </w:r>
          </w:p>
          <w:p w14:paraId="46116895" w14:textId="26723607" w:rsidR="007D49C5" w:rsidRDefault="007D49C5" w:rsidP="007D49C5">
            <w:pPr>
              <w:pStyle w:val="Sraopastraipa"/>
              <w:numPr>
                <w:ilvl w:val="0"/>
                <w:numId w:val="4"/>
              </w:numPr>
              <w:tabs>
                <w:tab w:val="left" w:pos="316"/>
              </w:tabs>
              <w:ind w:left="1308" w:hanging="709"/>
              <w:jc w:val="both"/>
            </w:pPr>
            <w:r w:rsidRPr="007D49C5">
              <w:t>2007 m. spalio 23 d. Europos Parlamento ir Tarybos reglamentu (EB) Nr. 1370/2007 dėl keleivinio geležinkelių ir kelių transporto viešųjų paslaugų;</w:t>
            </w:r>
          </w:p>
          <w:p w14:paraId="68B98FB0" w14:textId="4C900E6C" w:rsidR="007D49C5" w:rsidRDefault="007D49C5" w:rsidP="007D49C5">
            <w:pPr>
              <w:pStyle w:val="Sraopastraipa"/>
              <w:numPr>
                <w:ilvl w:val="0"/>
                <w:numId w:val="4"/>
              </w:numPr>
              <w:tabs>
                <w:tab w:val="left" w:pos="316"/>
              </w:tabs>
              <w:ind w:left="1308" w:hanging="709"/>
              <w:jc w:val="both"/>
            </w:pPr>
            <w:r w:rsidRPr="007D49C5">
              <w:t>Keleivių vežimo viešųjų paslaugų teikimo administravimo tvarkos aprašu, patvirtintu Lietuvos Respublikos susisiekimo ministro 2026 m. kovo 31 d. įsakymu Nr. 3-150;</w:t>
            </w:r>
          </w:p>
          <w:p w14:paraId="32F86594" w14:textId="2EB42F03" w:rsidR="007D49C5" w:rsidRDefault="007D49C5" w:rsidP="007D49C5">
            <w:pPr>
              <w:pStyle w:val="Sraopastraipa"/>
              <w:numPr>
                <w:ilvl w:val="0"/>
                <w:numId w:val="4"/>
              </w:numPr>
              <w:tabs>
                <w:tab w:val="left" w:pos="316"/>
              </w:tabs>
              <w:ind w:left="1308" w:hanging="709"/>
              <w:jc w:val="both"/>
            </w:pPr>
            <w:r w:rsidRPr="007D49C5">
              <w:t>Keleivių ir bagažo vežimo taisyklėmis, patvirtintomis Lietuvos Respublikos susisiekimo ministro 2011 m. balandžio 13 d. įsakymu Nr. 3-223;</w:t>
            </w:r>
          </w:p>
          <w:p w14:paraId="781425B0" w14:textId="65880CCB" w:rsidR="007D49C5" w:rsidRPr="007D49C5" w:rsidRDefault="007D49C5" w:rsidP="007D49C5">
            <w:pPr>
              <w:pStyle w:val="Sraopastraipa"/>
              <w:numPr>
                <w:ilvl w:val="0"/>
                <w:numId w:val="4"/>
              </w:numPr>
              <w:tabs>
                <w:tab w:val="left" w:pos="316"/>
              </w:tabs>
              <w:ind w:left="1308" w:hanging="709"/>
              <w:jc w:val="both"/>
            </w:pPr>
            <w:r w:rsidRPr="007D49C5">
              <w:t>Autobusų stočių veiklos nuostatais ir kitais keleivių vežimą reglamentuojančiais teisės aktais.</w:t>
            </w:r>
          </w:p>
          <w:p w14:paraId="6691E353" w14:textId="77777777" w:rsidR="00673B75" w:rsidRDefault="00673B75" w:rsidP="00DD51CA">
            <w:pPr>
              <w:tabs>
                <w:tab w:val="left" w:pos="0"/>
              </w:tabs>
              <w:rPr>
                <w:b/>
                <w:bCs/>
                <w:i/>
                <w:iCs/>
              </w:rPr>
            </w:pPr>
          </w:p>
          <w:p w14:paraId="33F187A5" w14:textId="77777777" w:rsidR="00673B75" w:rsidRPr="00086F1F" w:rsidRDefault="00673B75" w:rsidP="00DD51CA">
            <w:pPr>
              <w:tabs>
                <w:tab w:val="left" w:pos="0"/>
              </w:tabs>
              <w:rPr>
                <w:b/>
                <w:bCs/>
                <w:i/>
                <w:iCs/>
              </w:rPr>
            </w:pPr>
          </w:p>
        </w:tc>
      </w:tr>
      <w:tr w:rsidR="00681367" w14:paraId="66D0AD5F" w14:textId="77777777" w:rsidTr="00681367">
        <w:tc>
          <w:tcPr>
            <w:tcW w:w="9854" w:type="dxa"/>
            <w:hideMark/>
          </w:tcPr>
          <w:p w14:paraId="720237C6" w14:textId="77777777" w:rsidR="0062215B" w:rsidRDefault="00681367" w:rsidP="008D218E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  <w:p w14:paraId="00EA64D3" w14:textId="77777777" w:rsidR="007D49C5" w:rsidRDefault="007D49C5" w:rsidP="008D218E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EC0D5A4" w14:textId="0E901FC7" w:rsidR="007D49C5" w:rsidRDefault="007D49C5" w:rsidP="008D218E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1367" w14:paraId="59B4341A" w14:textId="77777777" w:rsidTr="00681367">
        <w:tc>
          <w:tcPr>
            <w:tcW w:w="9854" w:type="dxa"/>
            <w:hideMark/>
          </w:tcPr>
          <w:p w14:paraId="36547EA4" w14:textId="792C82F3" w:rsidR="00681367" w:rsidRDefault="007D49C5" w:rsidP="007D49C5">
            <w:pPr>
              <w:tabs>
                <w:tab w:val="left" w:pos="0"/>
              </w:tabs>
              <w:ind w:firstLine="599"/>
              <w:jc w:val="both"/>
              <w:rPr>
                <w:bCs/>
                <w:color w:val="000000"/>
              </w:rPr>
            </w:pPr>
            <w:r w:rsidRPr="007D49C5">
              <w:rPr>
                <w:bCs/>
                <w:color w:val="000000"/>
              </w:rPr>
              <w:t>Bus atnaujintas ir su galiojančiu teisiniu reguliavimu suderintas Savivaldybės keleivių vežimo viešųjų paslaugų organizavimo teisinis reglamentavimas.</w:t>
            </w:r>
          </w:p>
          <w:p w14:paraId="4DE94EDC" w14:textId="73AA6350" w:rsidR="007D49C5" w:rsidRDefault="007D49C5" w:rsidP="007D49C5">
            <w:pPr>
              <w:tabs>
                <w:tab w:val="left" w:pos="0"/>
              </w:tabs>
              <w:ind w:firstLine="599"/>
              <w:jc w:val="both"/>
              <w:rPr>
                <w:bCs/>
                <w:color w:val="000000"/>
              </w:rPr>
            </w:pPr>
            <w:r w:rsidRPr="007D49C5">
              <w:rPr>
                <w:bCs/>
                <w:color w:val="000000"/>
              </w:rPr>
              <w:t>Bus aiškiai nustatyta viešųjų paslaugų organizavimo, maršrutų planavimo, vežėjų parinkimo, sutarčių sudarymo, paslaugų kokybės vertinimo, kontrolės ir finansavimo tvarka.</w:t>
            </w:r>
          </w:p>
          <w:p w14:paraId="7D6EE373" w14:textId="6B91CA38" w:rsidR="007D49C5" w:rsidRDefault="007D49C5" w:rsidP="007D49C5">
            <w:pPr>
              <w:tabs>
                <w:tab w:val="left" w:pos="0"/>
              </w:tabs>
              <w:ind w:firstLine="599"/>
              <w:jc w:val="both"/>
              <w:rPr>
                <w:bCs/>
                <w:color w:val="000000"/>
              </w:rPr>
            </w:pPr>
            <w:r w:rsidRPr="007D49C5">
              <w:rPr>
                <w:bCs/>
                <w:color w:val="000000"/>
              </w:rPr>
              <w:lastRenderedPageBreak/>
              <w:t>Tikimasi užtikrinti efektyvesnį keleivių judumo poreikių planavimą, geresnę paslaugų kokybės kontrolę ir didesnį viešojo transporto paslaugų prieinamumą Savivaldybės gyventojams.</w:t>
            </w:r>
          </w:p>
          <w:p w14:paraId="3D472FBF" w14:textId="77777777" w:rsidR="007D49C5" w:rsidRDefault="007D49C5" w:rsidP="007D49C5">
            <w:pPr>
              <w:tabs>
                <w:tab w:val="left" w:pos="0"/>
              </w:tabs>
              <w:ind w:firstLine="599"/>
              <w:jc w:val="both"/>
              <w:rPr>
                <w:bCs/>
                <w:color w:val="000000"/>
              </w:rPr>
            </w:pPr>
          </w:p>
          <w:p w14:paraId="6E980993" w14:textId="304FC3B4" w:rsidR="007D49C5" w:rsidRDefault="007D49C5" w:rsidP="00A40C75">
            <w:pPr>
              <w:tabs>
                <w:tab w:val="left" w:pos="0"/>
              </w:tabs>
              <w:ind w:firstLine="743"/>
              <w:jc w:val="both"/>
              <w:rPr>
                <w:bCs/>
              </w:rPr>
            </w:pPr>
          </w:p>
        </w:tc>
      </w:tr>
      <w:tr w:rsidR="00681367" w14:paraId="33A6DF54" w14:textId="77777777" w:rsidTr="00681367">
        <w:tc>
          <w:tcPr>
            <w:tcW w:w="9854" w:type="dxa"/>
            <w:hideMark/>
          </w:tcPr>
          <w:p w14:paraId="6624CF0C" w14:textId="77777777" w:rsidR="00681367" w:rsidRDefault="0068136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4. Galimos neigiamos priimto projekto pasekmės ir kokių priemonių reikėtų imtis, kad tokių pasekmių būtų išvengta.</w:t>
            </w:r>
          </w:p>
          <w:p w14:paraId="4D807E19" w14:textId="77777777" w:rsidR="007D49C5" w:rsidRDefault="007D49C5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713FB244" w14:textId="77777777" w:rsidR="007D49C5" w:rsidRDefault="007D49C5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1367" w14:paraId="58CBDC52" w14:textId="77777777" w:rsidTr="00681367">
        <w:tc>
          <w:tcPr>
            <w:tcW w:w="9854" w:type="dxa"/>
            <w:hideMark/>
          </w:tcPr>
          <w:p w14:paraId="1D36F8E0" w14:textId="77777777" w:rsidR="00681367" w:rsidRDefault="00681367" w:rsidP="00FE05C5">
            <w:pPr>
              <w:tabs>
                <w:tab w:val="left" w:pos="0"/>
              </w:tabs>
              <w:ind w:firstLine="567"/>
              <w:jc w:val="both"/>
            </w:pPr>
            <w:r>
              <w:t>N</w:t>
            </w:r>
            <w:r w:rsidR="00FE05C5">
              <w:t>enumatoma</w:t>
            </w:r>
            <w:r>
              <w:t>.</w:t>
            </w:r>
          </w:p>
          <w:p w14:paraId="5BCEC0E1" w14:textId="77777777" w:rsidR="007D49C5" w:rsidRDefault="007D49C5" w:rsidP="00FE05C5">
            <w:pPr>
              <w:tabs>
                <w:tab w:val="left" w:pos="0"/>
              </w:tabs>
              <w:ind w:firstLine="567"/>
              <w:jc w:val="both"/>
            </w:pPr>
          </w:p>
          <w:p w14:paraId="23D2607A" w14:textId="77777777" w:rsidR="007D49C5" w:rsidRDefault="007D49C5" w:rsidP="00FE05C5">
            <w:pPr>
              <w:tabs>
                <w:tab w:val="left" w:pos="0"/>
              </w:tabs>
              <w:ind w:firstLine="567"/>
              <w:jc w:val="both"/>
            </w:pPr>
          </w:p>
        </w:tc>
      </w:tr>
      <w:tr w:rsidR="00681367" w14:paraId="0C4AA149" w14:textId="77777777" w:rsidTr="00681367">
        <w:tc>
          <w:tcPr>
            <w:tcW w:w="9854" w:type="dxa"/>
            <w:hideMark/>
          </w:tcPr>
          <w:p w14:paraId="5FE77D5A" w14:textId="3A31EFC8" w:rsidR="00681367" w:rsidRDefault="0068136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5. Kokie šios srities aktai tebegalioja (pateikiamas aktų sąrašas) ir kokius galiojančius aktus reikės pakeisti ar panaikinti; jeigu reikia Kolegijos ar mero priimamų aktų, kas ir kada juos turėtų parengti, priėmus teikiamą projektą.</w:t>
            </w:r>
          </w:p>
          <w:p w14:paraId="21782C6C" w14:textId="77777777" w:rsidR="007D49C5" w:rsidRDefault="007D49C5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FD011E1" w14:textId="77777777" w:rsidR="007D49C5" w:rsidRDefault="007D49C5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1367" w14:paraId="5217B7D4" w14:textId="77777777" w:rsidTr="00681367">
        <w:tc>
          <w:tcPr>
            <w:tcW w:w="9854" w:type="dxa"/>
            <w:hideMark/>
          </w:tcPr>
          <w:p w14:paraId="271BEB31" w14:textId="3BA8A514" w:rsidR="007D49C5" w:rsidRDefault="007D49C5" w:rsidP="007D49C5">
            <w:pPr>
              <w:tabs>
                <w:tab w:val="left" w:pos="0"/>
              </w:tabs>
              <w:ind w:firstLine="540"/>
              <w:jc w:val="both"/>
            </w:pPr>
            <w:r w:rsidRPr="007D49C5">
              <w:t>Priėmus sprendimą, bus pripažintas netekusiu galios Šilutės rajono savivaldybės tarybos 2024 m. gegužės 30 d. sprendimas Nr. T1-418 „Dėl Viešųjų paslaugų teikimo vietinio (miesto ir priemiestinio) susisiekimo maršrutais Šilutės rajono savivaldybėje tvarkos aprašo patvirtinimo“.</w:t>
            </w:r>
          </w:p>
          <w:p w14:paraId="2039B601" w14:textId="57A28261" w:rsidR="007D49C5" w:rsidRDefault="007D49C5" w:rsidP="007D49C5">
            <w:pPr>
              <w:tabs>
                <w:tab w:val="left" w:pos="0"/>
              </w:tabs>
              <w:ind w:firstLine="540"/>
              <w:jc w:val="both"/>
            </w:pPr>
            <w:r w:rsidRPr="007D49C5">
              <w:t>Kitų Savivaldybės teisės aktų keisti ar naikinti nereikės.</w:t>
            </w:r>
          </w:p>
          <w:p w14:paraId="630511FB" w14:textId="77777777" w:rsidR="007D49C5" w:rsidRDefault="007D49C5" w:rsidP="007D49C5">
            <w:pPr>
              <w:tabs>
                <w:tab w:val="left" w:pos="0"/>
              </w:tabs>
              <w:ind w:firstLine="540"/>
              <w:jc w:val="both"/>
            </w:pPr>
          </w:p>
          <w:p w14:paraId="261A1801" w14:textId="54005E95" w:rsidR="007D49C5" w:rsidRDefault="007D49C5" w:rsidP="007D49C5">
            <w:pPr>
              <w:tabs>
                <w:tab w:val="left" w:pos="0"/>
              </w:tabs>
              <w:ind w:firstLine="540"/>
              <w:jc w:val="both"/>
            </w:pPr>
          </w:p>
        </w:tc>
      </w:tr>
      <w:tr w:rsidR="00681367" w14:paraId="18DE8040" w14:textId="77777777" w:rsidTr="00681367">
        <w:tc>
          <w:tcPr>
            <w:tcW w:w="9854" w:type="dxa"/>
            <w:hideMark/>
          </w:tcPr>
          <w:p w14:paraId="2CACF2EE" w14:textId="77777777" w:rsidR="00681367" w:rsidRDefault="0068136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6. Jeigu reikia atlikti sprendimo projekto antikorupcinį vertinimą, sprendžia projekto rengėjas, atsižvelgdamas į Teisės aktų projektų antikorupcinio vertinimo taisykles.  </w:t>
            </w:r>
          </w:p>
          <w:p w14:paraId="71C55568" w14:textId="77777777" w:rsidR="007D49C5" w:rsidRDefault="007D49C5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72F41535" w14:textId="77777777" w:rsidR="007D49C5" w:rsidRDefault="007D49C5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1367" w14:paraId="102A684F" w14:textId="77777777" w:rsidTr="00681367">
        <w:tc>
          <w:tcPr>
            <w:tcW w:w="9854" w:type="dxa"/>
            <w:hideMark/>
          </w:tcPr>
          <w:p w14:paraId="631DE1C5" w14:textId="1F027585" w:rsidR="00681367" w:rsidRDefault="007D49C5" w:rsidP="00DF2A28">
            <w:pPr>
              <w:tabs>
                <w:tab w:val="left" w:pos="0"/>
              </w:tabs>
              <w:ind w:firstLine="567"/>
              <w:jc w:val="both"/>
            </w:pPr>
            <w:r w:rsidRPr="007D49C5">
              <w:t>Vadovaujantis Teisės aktų projektų antikorupcinio vertinimo taisyklėmis, sprendimo projektui turi būti atliktas antikorupcinis vertinimas.</w:t>
            </w:r>
          </w:p>
          <w:p w14:paraId="64AA7C7C" w14:textId="77777777" w:rsidR="007D49C5" w:rsidRDefault="007D49C5" w:rsidP="00DF2A28">
            <w:pPr>
              <w:tabs>
                <w:tab w:val="left" w:pos="0"/>
              </w:tabs>
              <w:ind w:firstLine="567"/>
              <w:jc w:val="both"/>
            </w:pPr>
          </w:p>
          <w:p w14:paraId="2AEAE39B" w14:textId="1D0ACB06" w:rsidR="007D49C5" w:rsidRDefault="007D49C5" w:rsidP="00DF2A28">
            <w:pPr>
              <w:tabs>
                <w:tab w:val="left" w:pos="0"/>
              </w:tabs>
              <w:ind w:firstLine="567"/>
              <w:jc w:val="both"/>
            </w:pPr>
          </w:p>
        </w:tc>
      </w:tr>
      <w:tr w:rsidR="00681367" w14:paraId="5E6BF50E" w14:textId="77777777" w:rsidTr="00681367">
        <w:tc>
          <w:tcPr>
            <w:tcW w:w="9854" w:type="dxa"/>
            <w:hideMark/>
          </w:tcPr>
          <w:p w14:paraId="7C9D8118" w14:textId="77777777" w:rsidR="00E524A5" w:rsidRDefault="00681367" w:rsidP="00073778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7. Projekto rengimo metu gauti specialistų vertinimai ir išvados, ekonominiai apskaičiavimai (sąmatos), konkretūs finansavimo šaltiniai.</w:t>
            </w:r>
          </w:p>
          <w:p w14:paraId="45AF6A49" w14:textId="77777777" w:rsidR="007D49C5" w:rsidRDefault="007D49C5" w:rsidP="00073778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316A848D" w14:textId="350AC540" w:rsidR="007D49C5" w:rsidRPr="00E524A5" w:rsidRDefault="007D49C5" w:rsidP="00073778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1367" w14:paraId="4B0327B0" w14:textId="77777777" w:rsidTr="00681367">
        <w:tc>
          <w:tcPr>
            <w:tcW w:w="9854" w:type="dxa"/>
            <w:hideMark/>
          </w:tcPr>
          <w:p w14:paraId="48A2427B" w14:textId="77777777" w:rsidR="005432B8" w:rsidRDefault="00DF2A28" w:rsidP="005432B8">
            <w:pPr>
              <w:autoSpaceDN w:val="0"/>
              <w:ind w:firstLine="601"/>
              <w:contextualSpacing/>
              <w:jc w:val="both"/>
              <w:rPr>
                <w:bCs/>
              </w:rPr>
            </w:pPr>
            <w:r>
              <w:rPr>
                <w:bCs/>
              </w:rPr>
              <w:t>Nėra.</w:t>
            </w:r>
          </w:p>
          <w:p w14:paraId="756213EC" w14:textId="77777777" w:rsidR="007D49C5" w:rsidRDefault="007D49C5" w:rsidP="005432B8">
            <w:pPr>
              <w:autoSpaceDN w:val="0"/>
              <w:ind w:firstLine="601"/>
              <w:contextualSpacing/>
              <w:jc w:val="both"/>
              <w:rPr>
                <w:bCs/>
              </w:rPr>
            </w:pPr>
          </w:p>
          <w:p w14:paraId="6EA50023" w14:textId="0AF0572E" w:rsidR="007D49C5" w:rsidRPr="005432B8" w:rsidRDefault="007D49C5" w:rsidP="005432B8">
            <w:pPr>
              <w:autoSpaceDN w:val="0"/>
              <w:ind w:firstLine="601"/>
              <w:contextualSpacing/>
              <w:jc w:val="both"/>
              <w:rPr>
                <w:bCs/>
                <w:lang w:eastAsia="lt-LT"/>
              </w:rPr>
            </w:pPr>
          </w:p>
        </w:tc>
      </w:tr>
      <w:tr w:rsidR="00681367" w14:paraId="1FE81827" w14:textId="77777777" w:rsidTr="00681367">
        <w:tc>
          <w:tcPr>
            <w:tcW w:w="9854" w:type="dxa"/>
            <w:hideMark/>
          </w:tcPr>
          <w:p w14:paraId="62795205" w14:textId="77777777" w:rsidR="00681367" w:rsidRDefault="00681367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8. Projekto autorius ar autorių grupė.</w:t>
            </w:r>
          </w:p>
          <w:p w14:paraId="2BAE6343" w14:textId="77777777" w:rsidR="007D49C5" w:rsidRDefault="007D49C5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</w:p>
          <w:p w14:paraId="53167735" w14:textId="77777777" w:rsidR="007D49C5" w:rsidRDefault="007D49C5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81367" w14:paraId="03B2BD5F" w14:textId="77777777" w:rsidTr="00681367">
        <w:tc>
          <w:tcPr>
            <w:tcW w:w="9854" w:type="dxa"/>
            <w:hideMark/>
          </w:tcPr>
          <w:p w14:paraId="4DA970E6" w14:textId="42C6DF58" w:rsidR="007D49C5" w:rsidRDefault="00E10DC7" w:rsidP="00E10DC7">
            <w:pPr>
              <w:tabs>
                <w:tab w:val="left" w:pos="0"/>
              </w:tabs>
              <w:ind w:firstLine="567"/>
              <w:jc w:val="both"/>
            </w:pPr>
            <w:r>
              <w:t xml:space="preserve">Irmantas </w:t>
            </w:r>
            <w:proofErr w:type="spellStart"/>
            <w:r>
              <w:t>Narevičius</w:t>
            </w:r>
            <w:proofErr w:type="spellEnd"/>
            <w:r w:rsidR="00681367">
              <w:t xml:space="preserve">, Ūkio skyriaus </w:t>
            </w:r>
            <w:r>
              <w:t>vyriausiasis specialistas</w:t>
            </w:r>
            <w:r w:rsidR="007D49C5">
              <w:t>.</w:t>
            </w:r>
          </w:p>
          <w:p w14:paraId="369290C1" w14:textId="77777777" w:rsidR="007D49C5" w:rsidRDefault="007D49C5" w:rsidP="00E10DC7">
            <w:pPr>
              <w:tabs>
                <w:tab w:val="left" w:pos="0"/>
              </w:tabs>
              <w:ind w:firstLine="567"/>
              <w:jc w:val="both"/>
            </w:pPr>
          </w:p>
          <w:p w14:paraId="25F3593A" w14:textId="3C631F45" w:rsidR="00AA573B" w:rsidRPr="00300843" w:rsidRDefault="00AA573B" w:rsidP="00E10DC7">
            <w:pPr>
              <w:tabs>
                <w:tab w:val="left" w:pos="0"/>
              </w:tabs>
              <w:ind w:firstLine="567"/>
              <w:jc w:val="both"/>
            </w:pPr>
          </w:p>
        </w:tc>
      </w:tr>
      <w:tr w:rsidR="00681367" w14:paraId="539FB038" w14:textId="77777777" w:rsidTr="00681367">
        <w:tc>
          <w:tcPr>
            <w:tcW w:w="9854" w:type="dxa"/>
            <w:hideMark/>
          </w:tcPr>
          <w:p w14:paraId="3E3CEB1E" w14:textId="77777777" w:rsidR="00681367" w:rsidRDefault="00681367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9. Reikšminiai projekto žodžiai, kurių reikia šiam projektui įtraukti į kompiuterinę paieškos sistemą.</w:t>
            </w:r>
          </w:p>
          <w:p w14:paraId="76F13C84" w14:textId="77777777" w:rsidR="007D49C5" w:rsidRDefault="007D49C5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</w:p>
          <w:p w14:paraId="7B179AEF" w14:textId="77777777" w:rsidR="007D49C5" w:rsidRDefault="007D49C5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81367" w14:paraId="777005CF" w14:textId="77777777" w:rsidTr="00681367">
        <w:tc>
          <w:tcPr>
            <w:tcW w:w="9854" w:type="dxa"/>
            <w:hideMark/>
          </w:tcPr>
          <w:p w14:paraId="612F1DD8" w14:textId="185A233D" w:rsidR="007D49C5" w:rsidRDefault="007D49C5" w:rsidP="00050E69">
            <w:pPr>
              <w:tabs>
                <w:tab w:val="left" w:pos="0"/>
              </w:tabs>
              <w:ind w:firstLine="601"/>
              <w:jc w:val="both"/>
              <w:rPr>
                <w:bCs/>
                <w:lang w:eastAsia="lt-LT"/>
              </w:rPr>
            </w:pPr>
            <w:r w:rsidRPr="007D49C5">
              <w:rPr>
                <w:bCs/>
                <w:lang w:eastAsia="lt-LT"/>
              </w:rPr>
              <w:t>Keleivių vežimas, viešosios paslaugos, vietinis susisiekimas, miesto maršrutai, priemiestiniai maršrutai, viešasis transportas, maršrutų planavimas, keleivių judumo poreikis, vežėjai, tvarkos aprašas.</w:t>
            </w:r>
          </w:p>
          <w:p w14:paraId="43CF84D6" w14:textId="77777777" w:rsidR="007D49C5" w:rsidRDefault="007D49C5" w:rsidP="00050E69">
            <w:pPr>
              <w:tabs>
                <w:tab w:val="left" w:pos="0"/>
              </w:tabs>
              <w:ind w:firstLine="601"/>
              <w:jc w:val="both"/>
              <w:rPr>
                <w:bCs/>
                <w:lang w:eastAsia="lt-LT"/>
              </w:rPr>
            </w:pPr>
          </w:p>
          <w:p w14:paraId="303835AD" w14:textId="3699D8B7" w:rsidR="007D49C5" w:rsidRPr="00300843" w:rsidRDefault="007D49C5" w:rsidP="00050E69">
            <w:pPr>
              <w:tabs>
                <w:tab w:val="left" w:pos="0"/>
              </w:tabs>
              <w:ind w:firstLine="601"/>
              <w:jc w:val="both"/>
              <w:rPr>
                <w:i/>
              </w:rPr>
            </w:pPr>
          </w:p>
        </w:tc>
      </w:tr>
      <w:tr w:rsidR="00681367" w14:paraId="39E72EDF" w14:textId="77777777" w:rsidTr="00681367">
        <w:tc>
          <w:tcPr>
            <w:tcW w:w="9854" w:type="dxa"/>
            <w:hideMark/>
          </w:tcPr>
          <w:p w14:paraId="78CAAB62" w14:textId="77777777" w:rsidR="00300843" w:rsidRDefault="00681367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="00CD7AFD">
              <w:rPr>
                <w:b/>
                <w:bCs/>
                <w:i/>
                <w:iCs/>
                <w:sz w:val="22"/>
                <w:szCs w:val="22"/>
              </w:rPr>
              <w:t xml:space="preserve">0. </w:t>
            </w:r>
            <w:r>
              <w:rPr>
                <w:b/>
                <w:bCs/>
                <w:i/>
                <w:iCs/>
                <w:sz w:val="22"/>
                <w:szCs w:val="22"/>
              </w:rPr>
              <w:t>Kiti,  autorių nuomone,  reikalingi pagrindimai ir paaiškinimai.</w:t>
            </w:r>
          </w:p>
          <w:p w14:paraId="26C76D31" w14:textId="77777777" w:rsidR="007D49C5" w:rsidRDefault="007D49C5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F9BDFD8" w14:textId="398536FC" w:rsidR="007D49C5" w:rsidRDefault="007D49C5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1367" w14:paraId="4C73C70D" w14:textId="77777777" w:rsidTr="00681367">
        <w:tc>
          <w:tcPr>
            <w:tcW w:w="9854" w:type="dxa"/>
            <w:hideMark/>
          </w:tcPr>
          <w:p w14:paraId="74FDECD6" w14:textId="333F53EF" w:rsidR="00DA3CC4" w:rsidRDefault="00DA3CC4" w:rsidP="00300843">
            <w:pPr>
              <w:tabs>
                <w:tab w:val="left" w:pos="0"/>
              </w:tabs>
              <w:ind w:firstLine="601"/>
              <w:jc w:val="both"/>
            </w:pPr>
          </w:p>
        </w:tc>
      </w:tr>
      <w:tr w:rsidR="00681367" w14:paraId="1C0FBBD0" w14:textId="77777777" w:rsidTr="00681367">
        <w:tc>
          <w:tcPr>
            <w:tcW w:w="9854" w:type="dxa"/>
          </w:tcPr>
          <w:p w14:paraId="10A81A90" w14:textId="32691619" w:rsidR="00681367" w:rsidRDefault="00300843" w:rsidP="00300843">
            <w:pPr>
              <w:tabs>
                <w:tab w:val="left" w:pos="0"/>
              </w:tabs>
              <w:ind w:firstLine="601"/>
              <w:jc w:val="both"/>
              <w:rPr>
                <w:sz w:val="22"/>
                <w:szCs w:val="22"/>
              </w:rPr>
            </w:pPr>
            <w:r>
              <w:t>Nėra.</w:t>
            </w:r>
          </w:p>
        </w:tc>
      </w:tr>
      <w:tr w:rsidR="00300843" w14:paraId="7B0ED2A0" w14:textId="77777777" w:rsidTr="00681367">
        <w:tc>
          <w:tcPr>
            <w:tcW w:w="9854" w:type="dxa"/>
          </w:tcPr>
          <w:p w14:paraId="7B4E047B" w14:textId="77777777" w:rsidR="00300843" w:rsidRDefault="00300843">
            <w:pPr>
              <w:tabs>
                <w:tab w:val="left" w:pos="0"/>
              </w:tabs>
              <w:jc w:val="both"/>
            </w:pPr>
          </w:p>
        </w:tc>
      </w:tr>
    </w:tbl>
    <w:p w14:paraId="7C1AA648" w14:textId="77777777" w:rsidR="00B7663F" w:rsidRDefault="00B7663F" w:rsidP="00681367">
      <w:pPr>
        <w:tabs>
          <w:tab w:val="left" w:pos="0"/>
        </w:tabs>
      </w:pPr>
    </w:p>
    <w:p w14:paraId="1E2C2206" w14:textId="59C96010" w:rsidR="00681367" w:rsidRDefault="00681367" w:rsidP="00681367">
      <w:pPr>
        <w:tabs>
          <w:tab w:val="left" w:pos="0"/>
        </w:tabs>
      </w:pPr>
      <w:r>
        <w:t xml:space="preserve">Ūkio skyriaus </w:t>
      </w:r>
      <w:r w:rsidR="00E10DC7">
        <w:t>vyriausiasis specialistas</w:t>
      </w:r>
      <w:r w:rsidR="00300843">
        <w:tab/>
      </w:r>
      <w:r w:rsidR="00300843">
        <w:tab/>
      </w:r>
      <w:r w:rsidR="00300843">
        <w:tab/>
        <w:t xml:space="preserve"> </w:t>
      </w:r>
      <w:r w:rsidR="00E10DC7">
        <w:t xml:space="preserve">                   Irmantas </w:t>
      </w:r>
      <w:proofErr w:type="spellStart"/>
      <w:r w:rsidR="00E10DC7">
        <w:t>Narevičius</w:t>
      </w:r>
      <w:proofErr w:type="spellEnd"/>
    </w:p>
    <w:sectPr w:rsidR="00681367" w:rsidSect="003061D6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6D202" w14:textId="77777777" w:rsidR="00044BD9" w:rsidRDefault="00044BD9" w:rsidP="003061D6">
      <w:r>
        <w:separator/>
      </w:r>
    </w:p>
  </w:endnote>
  <w:endnote w:type="continuationSeparator" w:id="0">
    <w:p w14:paraId="7AC63615" w14:textId="77777777" w:rsidR="00044BD9" w:rsidRDefault="00044BD9" w:rsidP="0030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D09E7" w14:textId="77777777" w:rsidR="00044BD9" w:rsidRDefault="00044BD9" w:rsidP="003061D6">
      <w:r>
        <w:separator/>
      </w:r>
    </w:p>
  </w:footnote>
  <w:footnote w:type="continuationSeparator" w:id="0">
    <w:p w14:paraId="1CE5B4C0" w14:textId="77777777" w:rsidR="00044BD9" w:rsidRDefault="00044BD9" w:rsidP="00306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061367"/>
      <w:docPartObj>
        <w:docPartGallery w:val="Page Numbers (Top of Page)"/>
        <w:docPartUnique/>
      </w:docPartObj>
    </w:sdtPr>
    <w:sdtContent>
      <w:p w14:paraId="44E74A9D" w14:textId="077A3684" w:rsidR="003061D6" w:rsidRDefault="003061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7EEDCE" w14:textId="77777777" w:rsidR="003061D6" w:rsidRDefault="003061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057B1"/>
    <w:multiLevelType w:val="hybridMultilevel"/>
    <w:tmpl w:val="136C7D52"/>
    <w:lvl w:ilvl="0" w:tplc="28E40E12">
      <w:start w:val="1"/>
      <w:numFmt w:val="decimal"/>
      <w:lvlText w:val="%1."/>
      <w:lvlJc w:val="left"/>
      <w:pPr>
        <w:ind w:left="96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1A6260AA"/>
    <w:multiLevelType w:val="hybridMultilevel"/>
    <w:tmpl w:val="E4B0C9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35547"/>
    <w:multiLevelType w:val="multilevel"/>
    <w:tmpl w:val="4F2EFCA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567" w:firstLine="284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firstLine="0"/>
      </w:pPr>
      <w:rPr>
        <w:rFonts w:hint="default"/>
      </w:rPr>
    </w:lvl>
  </w:abstractNum>
  <w:abstractNum w:abstractNumId="3" w15:restartNumberingAfterBreak="0">
    <w:nsid w:val="64171455"/>
    <w:multiLevelType w:val="hybridMultilevel"/>
    <w:tmpl w:val="4D0885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584024">
    <w:abstractNumId w:val="0"/>
  </w:num>
  <w:num w:numId="2" w16cid:durableId="1449467970">
    <w:abstractNumId w:val="2"/>
  </w:num>
  <w:num w:numId="3" w16cid:durableId="583993768">
    <w:abstractNumId w:val="1"/>
  </w:num>
  <w:num w:numId="4" w16cid:durableId="2144347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367"/>
    <w:rsid w:val="00000BD4"/>
    <w:rsid w:val="00002295"/>
    <w:rsid w:val="00011174"/>
    <w:rsid w:val="0001337D"/>
    <w:rsid w:val="0004179A"/>
    <w:rsid w:val="00044BD9"/>
    <w:rsid w:val="00050E69"/>
    <w:rsid w:val="0006377D"/>
    <w:rsid w:val="000639D6"/>
    <w:rsid w:val="00070ECE"/>
    <w:rsid w:val="00073778"/>
    <w:rsid w:val="000752F8"/>
    <w:rsid w:val="00086F1F"/>
    <w:rsid w:val="000B5590"/>
    <w:rsid w:val="000D1C96"/>
    <w:rsid w:val="000E0FAA"/>
    <w:rsid w:val="000F4EB8"/>
    <w:rsid w:val="001064D0"/>
    <w:rsid w:val="001109F9"/>
    <w:rsid w:val="001132EF"/>
    <w:rsid w:val="00126F41"/>
    <w:rsid w:val="0013301B"/>
    <w:rsid w:val="00133212"/>
    <w:rsid w:val="00140475"/>
    <w:rsid w:val="0014296F"/>
    <w:rsid w:val="00171A9D"/>
    <w:rsid w:val="00174211"/>
    <w:rsid w:val="00184D94"/>
    <w:rsid w:val="00190A81"/>
    <w:rsid w:val="00191F76"/>
    <w:rsid w:val="001A6C13"/>
    <w:rsid w:val="001B183B"/>
    <w:rsid w:val="001B5D60"/>
    <w:rsid w:val="001D6EE3"/>
    <w:rsid w:val="001F2EB6"/>
    <w:rsid w:val="0021171C"/>
    <w:rsid w:val="002204D6"/>
    <w:rsid w:val="00223351"/>
    <w:rsid w:val="00252DA2"/>
    <w:rsid w:val="002579FE"/>
    <w:rsid w:val="00267525"/>
    <w:rsid w:val="00281B34"/>
    <w:rsid w:val="0028415D"/>
    <w:rsid w:val="002A3F4E"/>
    <w:rsid w:val="002B0914"/>
    <w:rsid w:val="002B6523"/>
    <w:rsid w:val="002F57F4"/>
    <w:rsid w:val="00300843"/>
    <w:rsid w:val="00303FB2"/>
    <w:rsid w:val="003061D6"/>
    <w:rsid w:val="00316DD3"/>
    <w:rsid w:val="0032622B"/>
    <w:rsid w:val="003265F1"/>
    <w:rsid w:val="003363D9"/>
    <w:rsid w:val="00360AEC"/>
    <w:rsid w:val="00362469"/>
    <w:rsid w:val="00375EDC"/>
    <w:rsid w:val="00377E74"/>
    <w:rsid w:val="00383D96"/>
    <w:rsid w:val="003B7B29"/>
    <w:rsid w:val="003D3897"/>
    <w:rsid w:val="003D3D7F"/>
    <w:rsid w:val="003E27C5"/>
    <w:rsid w:val="003F21CA"/>
    <w:rsid w:val="00415C4C"/>
    <w:rsid w:val="00423510"/>
    <w:rsid w:val="004277EF"/>
    <w:rsid w:val="00454984"/>
    <w:rsid w:val="004B133A"/>
    <w:rsid w:val="004B7DC4"/>
    <w:rsid w:val="004C53C7"/>
    <w:rsid w:val="004E745F"/>
    <w:rsid w:val="004F6EAE"/>
    <w:rsid w:val="00505CC1"/>
    <w:rsid w:val="00514965"/>
    <w:rsid w:val="0052405D"/>
    <w:rsid w:val="0052454B"/>
    <w:rsid w:val="005432B8"/>
    <w:rsid w:val="005759A5"/>
    <w:rsid w:val="0058084E"/>
    <w:rsid w:val="00592E90"/>
    <w:rsid w:val="0059311E"/>
    <w:rsid w:val="005C2399"/>
    <w:rsid w:val="005D219B"/>
    <w:rsid w:val="005E132B"/>
    <w:rsid w:val="005E3899"/>
    <w:rsid w:val="005E3AED"/>
    <w:rsid w:val="00602603"/>
    <w:rsid w:val="00612F15"/>
    <w:rsid w:val="0062215B"/>
    <w:rsid w:val="006222D9"/>
    <w:rsid w:val="00632A0C"/>
    <w:rsid w:val="006362E1"/>
    <w:rsid w:val="00641E47"/>
    <w:rsid w:val="00642962"/>
    <w:rsid w:val="0064732B"/>
    <w:rsid w:val="006515E9"/>
    <w:rsid w:val="00653937"/>
    <w:rsid w:val="0066310D"/>
    <w:rsid w:val="00666EF2"/>
    <w:rsid w:val="00670277"/>
    <w:rsid w:val="00673B75"/>
    <w:rsid w:val="006756DB"/>
    <w:rsid w:val="00681367"/>
    <w:rsid w:val="006C1F28"/>
    <w:rsid w:val="006C2E18"/>
    <w:rsid w:val="006D4347"/>
    <w:rsid w:val="006F26B4"/>
    <w:rsid w:val="007129EC"/>
    <w:rsid w:val="00734BAD"/>
    <w:rsid w:val="0073669D"/>
    <w:rsid w:val="007429E9"/>
    <w:rsid w:val="007468B6"/>
    <w:rsid w:val="00752F07"/>
    <w:rsid w:val="007728E2"/>
    <w:rsid w:val="007777DB"/>
    <w:rsid w:val="007B7FEA"/>
    <w:rsid w:val="007D26C2"/>
    <w:rsid w:val="007D49C5"/>
    <w:rsid w:val="007E6144"/>
    <w:rsid w:val="007F7DF0"/>
    <w:rsid w:val="00813A97"/>
    <w:rsid w:val="00814642"/>
    <w:rsid w:val="00817E62"/>
    <w:rsid w:val="008201CB"/>
    <w:rsid w:val="00825528"/>
    <w:rsid w:val="00827715"/>
    <w:rsid w:val="008514F1"/>
    <w:rsid w:val="0085343F"/>
    <w:rsid w:val="00877216"/>
    <w:rsid w:val="008851B5"/>
    <w:rsid w:val="008873FF"/>
    <w:rsid w:val="0089237B"/>
    <w:rsid w:val="008A16FA"/>
    <w:rsid w:val="008D218E"/>
    <w:rsid w:val="008E6531"/>
    <w:rsid w:val="008F33DC"/>
    <w:rsid w:val="00904C38"/>
    <w:rsid w:val="00926432"/>
    <w:rsid w:val="009516EF"/>
    <w:rsid w:val="00961DC9"/>
    <w:rsid w:val="009665C4"/>
    <w:rsid w:val="00972B05"/>
    <w:rsid w:val="009A2527"/>
    <w:rsid w:val="009C1A56"/>
    <w:rsid w:val="009E100E"/>
    <w:rsid w:val="009F4D0A"/>
    <w:rsid w:val="00A11B9B"/>
    <w:rsid w:val="00A1573A"/>
    <w:rsid w:val="00A256F3"/>
    <w:rsid w:val="00A40C75"/>
    <w:rsid w:val="00A7011A"/>
    <w:rsid w:val="00A862D5"/>
    <w:rsid w:val="00AA573B"/>
    <w:rsid w:val="00AB6C83"/>
    <w:rsid w:val="00AE6D4C"/>
    <w:rsid w:val="00B108D9"/>
    <w:rsid w:val="00B1334B"/>
    <w:rsid w:val="00B166B9"/>
    <w:rsid w:val="00B436C4"/>
    <w:rsid w:val="00B44FBA"/>
    <w:rsid w:val="00B53FF7"/>
    <w:rsid w:val="00B55AE0"/>
    <w:rsid w:val="00B62CDC"/>
    <w:rsid w:val="00B7663F"/>
    <w:rsid w:val="00B803BF"/>
    <w:rsid w:val="00B825B9"/>
    <w:rsid w:val="00BB480E"/>
    <w:rsid w:val="00BC586E"/>
    <w:rsid w:val="00BC76B7"/>
    <w:rsid w:val="00C025CE"/>
    <w:rsid w:val="00C076D5"/>
    <w:rsid w:val="00C505F3"/>
    <w:rsid w:val="00C513AC"/>
    <w:rsid w:val="00C83725"/>
    <w:rsid w:val="00CA34C7"/>
    <w:rsid w:val="00CA7ED6"/>
    <w:rsid w:val="00CD4C5A"/>
    <w:rsid w:val="00CD7AFD"/>
    <w:rsid w:val="00CF3544"/>
    <w:rsid w:val="00D039CE"/>
    <w:rsid w:val="00D03B5E"/>
    <w:rsid w:val="00D253E7"/>
    <w:rsid w:val="00D33757"/>
    <w:rsid w:val="00D50630"/>
    <w:rsid w:val="00D53203"/>
    <w:rsid w:val="00D56B11"/>
    <w:rsid w:val="00D8737E"/>
    <w:rsid w:val="00D911C4"/>
    <w:rsid w:val="00D97B7D"/>
    <w:rsid w:val="00DA3CC4"/>
    <w:rsid w:val="00DC5BBC"/>
    <w:rsid w:val="00DD32D3"/>
    <w:rsid w:val="00DD39A1"/>
    <w:rsid w:val="00DD51CA"/>
    <w:rsid w:val="00DD5857"/>
    <w:rsid w:val="00DE2F3A"/>
    <w:rsid w:val="00DE4A03"/>
    <w:rsid w:val="00DF2A28"/>
    <w:rsid w:val="00E00B47"/>
    <w:rsid w:val="00E10DC7"/>
    <w:rsid w:val="00E11DA9"/>
    <w:rsid w:val="00E16512"/>
    <w:rsid w:val="00E31B8A"/>
    <w:rsid w:val="00E374E7"/>
    <w:rsid w:val="00E42AD5"/>
    <w:rsid w:val="00E524A5"/>
    <w:rsid w:val="00E55EF8"/>
    <w:rsid w:val="00E81341"/>
    <w:rsid w:val="00E84077"/>
    <w:rsid w:val="00EB0A36"/>
    <w:rsid w:val="00EC04D9"/>
    <w:rsid w:val="00ED5C8C"/>
    <w:rsid w:val="00EE11AE"/>
    <w:rsid w:val="00EF533D"/>
    <w:rsid w:val="00F00EC0"/>
    <w:rsid w:val="00F109D8"/>
    <w:rsid w:val="00F25610"/>
    <w:rsid w:val="00F31F6B"/>
    <w:rsid w:val="00F517CE"/>
    <w:rsid w:val="00F8478E"/>
    <w:rsid w:val="00FD3DED"/>
    <w:rsid w:val="00FE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5B7D"/>
  <w15:chartTrackingRefBased/>
  <w15:docId w15:val="{2EE87693-106E-4902-B3BD-930A127A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1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681367"/>
    <w:rPr>
      <w:color w:val="0563C1"/>
      <w:u w:val="single"/>
    </w:rPr>
  </w:style>
  <w:style w:type="paragraph" w:styleId="HTMLiankstoformatuotas">
    <w:name w:val="HTML Preformatted"/>
    <w:basedOn w:val="prastasis"/>
    <w:link w:val="HTMLiankstoformatuotasDiagrama"/>
    <w:unhideWhenUsed/>
    <w:qFormat/>
    <w:rsid w:val="006813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681367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681367"/>
    <w:pPr>
      <w:tabs>
        <w:tab w:val="left" w:pos="0"/>
      </w:tabs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68136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antrat">
    <w:name w:val="Subtitle"/>
    <w:basedOn w:val="prastasis"/>
    <w:link w:val="PaantratDiagrama"/>
    <w:qFormat/>
    <w:rsid w:val="00681367"/>
    <w:pPr>
      <w:tabs>
        <w:tab w:val="left" w:pos="567"/>
      </w:tabs>
      <w:jc w:val="center"/>
    </w:pPr>
    <w:rPr>
      <w:b/>
      <w:bCs/>
    </w:rPr>
  </w:style>
  <w:style w:type="character" w:customStyle="1" w:styleId="PaantratDiagrama">
    <w:name w:val="Paantraštė Diagrama"/>
    <w:basedOn w:val="Numatytasispastraiposriftas"/>
    <w:link w:val="Paantrat"/>
    <w:rsid w:val="006813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Internetosaitas">
    <w:name w:val="Interneto saitas"/>
    <w:rsid w:val="00681367"/>
    <w:rPr>
      <w:color w:val="0000FF"/>
      <w:u w:val="single"/>
    </w:rPr>
  </w:style>
  <w:style w:type="character" w:customStyle="1" w:styleId="apple-converted-space">
    <w:name w:val="apple-converted-space"/>
    <w:qFormat/>
    <w:rsid w:val="00681367"/>
  </w:style>
  <w:style w:type="character" w:styleId="Perirtashipersaitas">
    <w:name w:val="FollowedHyperlink"/>
    <w:basedOn w:val="Numatytasispastraiposriftas"/>
    <w:uiPriority w:val="99"/>
    <w:semiHidden/>
    <w:unhideWhenUsed/>
    <w:rsid w:val="00904C38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423510"/>
    <w:pPr>
      <w:ind w:left="720"/>
      <w:contextualSpacing/>
    </w:pPr>
  </w:style>
  <w:style w:type="paragraph" w:customStyle="1" w:styleId="DiagramaDiagrama">
    <w:name w:val="Diagrama Diagrama"/>
    <w:basedOn w:val="prastasis"/>
    <w:rsid w:val="00DD51C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rsid w:val="00D8737E"/>
    <w:pPr>
      <w:jc w:val="both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8737E"/>
    <w:rPr>
      <w:rFonts w:ascii="Times New Roman" w:eastAsia="Times New Roman" w:hAnsi="Times New Roman" w:cs="Times New Roman"/>
      <w:szCs w:val="24"/>
    </w:rPr>
  </w:style>
  <w:style w:type="paragraph" w:customStyle="1" w:styleId="DiagramaDiagrama0">
    <w:name w:val="Diagrama Diagrama"/>
    <w:basedOn w:val="prastasis"/>
    <w:rsid w:val="00B62CD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B183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B183B"/>
    <w:rPr>
      <w:rFonts w:ascii="Times New Roman" w:eastAsia="Times New Roman" w:hAnsi="Times New Roman" w:cs="Times New Roman"/>
      <w:sz w:val="24"/>
      <w:szCs w:val="24"/>
    </w:rPr>
  </w:style>
  <w:style w:type="paragraph" w:customStyle="1" w:styleId="DiagramaDiagrama1">
    <w:name w:val="Diagrama Diagrama"/>
    <w:basedOn w:val="prastasis"/>
    <w:rsid w:val="00EE11A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23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2399"/>
    <w:rPr>
      <w:rFonts w:ascii="Segoe UI" w:eastAsia="Times New Roman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3B7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1337D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3061D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61D6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061D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061D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AC7C4-F813-4306-B9FB-7837F9A3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3154</Words>
  <Characters>1799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Ekonom_ZT</dc:creator>
  <cp:keywords/>
  <dc:description/>
  <cp:lastModifiedBy>Asta Jagelavičienė</cp:lastModifiedBy>
  <cp:revision>28</cp:revision>
  <cp:lastPrinted>2023-05-09T06:52:00Z</cp:lastPrinted>
  <dcterms:created xsi:type="dcterms:W3CDTF">2023-05-11T06:56:00Z</dcterms:created>
  <dcterms:modified xsi:type="dcterms:W3CDTF">2026-06-12T11:00:00Z</dcterms:modified>
</cp:coreProperties>
</file>