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C6F1" w14:textId="77777777" w:rsidR="00337F30" w:rsidRPr="00AA102A" w:rsidRDefault="00337F30" w:rsidP="00337F30">
      <w:pPr>
        <w:widowControl/>
        <w:tabs>
          <w:tab w:val="left" w:pos="0"/>
        </w:tabs>
        <w:suppressAutoHyphens w:val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AA102A">
        <w:rPr>
          <w:rFonts w:ascii="Times New Roman" w:hAnsi="Times New Roman" w:cs="Times New Roman"/>
          <w:b/>
          <w:bCs/>
          <w:lang w:eastAsia="en-US"/>
        </w:rPr>
        <w:t>ŠILUTĖS RAJONO SAVIVALDYBĖS ADMINISTRACIJOS</w:t>
      </w:r>
    </w:p>
    <w:p w14:paraId="6C23EB62" w14:textId="36022DEE" w:rsidR="00337F30" w:rsidRPr="00AA102A" w:rsidRDefault="00B1306D" w:rsidP="00337F30">
      <w:pPr>
        <w:widowControl/>
        <w:tabs>
          <w:tab w:val="left" w:pos="0"/>
        </w:tabs>
        <w:suppressAutoHyphens w:val="0"/>
        <w:jc w:val="center"/>
        <w:rPr>
          <w:rFonts w:ascii="Times New Roman" w:hAnsi="Times New Roman" w:cs="Times New Roman"/>
          <w:b/>
          <w:bCs/>
          <w:caps/>
          <w:lang w:eastAsia="en-US"/>
        </w:rPr>
      </w:pPr>
      <w:r w:rsidRPr="00AA102A">
        <w:rPr>
          <w:rFonts w:ascii="Times New Roman" w:hAnsi="Times New Roman" w:cs="Times New Roman"/>
          <w:b/>
          <w:bCs/>
          <w:caps/>
          <w:lang w:eastAsia="en-US"/>
        </w:rPr>
        <w:t>PLANAVIMO IR PLĖTROS</w:t>
      </w:r>
      <w:r w:rsidR="00337F30" w:rsidRPr="00AA102A">
        <w:rPr>
          <w:rFonts w:ascii="Times New Roman" w:hAnsi="Times New Roman" w:cs="Times New Roman"/>
          <w:b/>
          <w:bCs/>
          <w:caps/>
          <w:lang w:eastAsia="en-US"/>
        </w:rPr>
        <w:t xml:space="preserve"> SKYRIUS</w:t>
      </w:r>
    </w:p>
    <w:p w14:paraId="3909F4A8" w14:textId="77777777" w:rsidR="00337F30" w:rsidRPr="00AA102A" w:rsidRDefault="00337F30" w:rsidP="00337F30">
      <w:pPr>
        <w:widowControl/>
        <w:tabs>
          <w:tab w:val="left" w:pos="0"/>
        </w:tabs>
        <w:suppressAutoHyphens w:val="0"/>
        <w:jc w:val="center"/>
        <w:rPr>
          <w:rFonts w:ascii="Times New Roman" w:hAnsi="Times New Roman" w:cs="Times New Roman"/>
          <w:b/>
          <w:bCs/>
          <w:caps/>
          <w:lang w:eastAsia="en-US"/>
        </w:rPr>
      </w:pPr>
    </w:p>
    <w:p w14:paraId="4DFB93CB" w14:textId="77777777" w:rsidR="00337F30" w:rsidRPr="00AA102A" w:rsidRDefault="00337F30" w:rsidP="00337F30">
      <w:pPr>
        <w:widowControl/>
        <w:jc w:val="center"/>
        <w:rPr>
          <w:rFonts w:ascii="Times New Roman" w:hAnsi="Times New Roman" w:cs="Times New Roman"/>
          <w:b/>
          <w:bCs/>
          <w:lang w:eastAsia="ar-SA"/>
        </w:rPr>
      </w:pPr>
      <w:r w:rsidRPr="00AA102A">
        <w:rPr>
          <w:rFonts w:ascii="Times New Roman" w:hAnsi="Times New Roman" w:cs="Times New Roman"/>
          <w:b/>
          <w:bCs/>
          <w:lang w:eastAsia="ar-SA"/>
        </w:rPr>
        <w:t>AIŠKINAMASIS RAŠTAS</w:t>
      </w:r>
    </w:p>
    <w:p w14:paraId="4761A684" w14:textId="77777777" w:rsidR="00337F30" w:rsidRPr="00AA102A" w:rsidRDefault="00337F30" w:rsidP="00337F30">
      <w:pPr>
        <w:widowControl/>
        <w:jc w:val="center"/>
        <w:rPr>
          <w:rFonts w:ascii="Times New Roman" w:hAnsi="Times New Roman" w:cs="Times New Roman"/>
          <w:b/>
          <w:lang w:eastAsia="ar-SA"/>
        </w:rPr>
      </w:pPr>
      <w:r w:rsidRPr="00AA102A">
        <w:rPr>
          <w:rFonts w:ascii="Times New Roman" w:hAnsi="Times New Roman" w:cs="Times New Roman"/>
          <w:b/>
          <w:lang w:eastAsia="ar-SA"/>
        </w:rPr>
        <w:t>D</w:t>
      </w:r>
      <w:r w:rsidRPr="00AA102A">
        <w:rPr>
          <w:rFonts w:ascii="Times New Roman" w:hAnsi="Times New Roman" w:cs="Times New Roman" w:hint="eastAsia"/>
          <w:b/>
          <w:lang w:eastAsia="ar-SA"/>
        </w:rPr>
        <w:t>Ė</w:t>
      </w:r>
      <w:r w:rsidRPr="00AA102A">
        <w:rPr>
          <w:rFonts w:ascii="Times New Roman" w:hAnsi="Times New Roman" w:cs="Times New Roman"/>
          <w:b/>
          <w:lang w:eastAsia="ar-SA"/>
        </w:rPr>
        <w:t>L TARYBOS SPRENDIMO PROJEKTO</w:t>
      </w:r>
    </w:p>
    <w:p w14:paraId="083DF2A5" w14:textId="0AE62BA2" w:rsidR="00337F30" w:rsidRPr="00AC3B8B" w:rsidRDefault="00337F30" w:rsidP="00337F30">
      <w:pPr>
        <w:widowControl/>
        <w:jc w:val="center"/>
        <w:rPr>
          <w:rFonts w:ascii="Times New Roman" w:hAnsi="Times New Roman" w:cs="Times New Roman"/>
          <w:b/>
          <w:bCs/>
          <w:lang w:eastAsia="en-US"/>
        </w:rPr>
      </w:pPr>
      <w:r w:rsidRPr="00AA102A">
        <w:rPr>
          <w:rFonts w:ascii="Times New Roman" w:hAnsi="Times New Roman" w:cs="Times New Roman"/>
          <w:b/>
          <w:lang w:eastAsia="ar-SA"/>
        </w:rPr>
        <w:t>„</w:t>
      </w:r>
      <w:r w:rsidR="0003484F" w:rsidRPr="00AA102A">
        <w:rPr>
          <w:rFonts w:ascii="Times New Roman" w:hAnsi="Times New Roman" w:cs="Times New Roman"/>
          <w:b/>
          <w:lang w:eastAsia="ar-SA"/>
        </w:rPr>
        <w:t xml:space="preserve">DĖL PRITARIMO </w:t>
      </w:r>
      <w:r w:rsidR="005C37F4" w:rsidRPr="005C37F4">
        <w:rPr>
          <w:rFonts w:ascii="Times New Roman" w:hAnsi="Times New Roman" w:cs="Times New Roman"/>
          <w:b/>
          <w:bCs/>
          <w:lang w:eastAsia="en-US"/>
        </w:rPr>
        <w:t>ŠVĖKŠNOS ŠV. APAŠTALO JOKŪBO BAŽNYČIOS STOGO IR FASADŲ TVARKYBOS DARBAMS</w:t>
      </w:r>
      <w:r w:rsidRPr="00AA102A">
        <w:rPr>
          <w:rFonts w:ascii="Times New Roman" w:hAnsi="Times New Roman" w:cs="Times New Roman"/>
          <w:b/>
          <w:lang w:eastAsia="en-US"/>
        </w:rPr>
        <w:t>“</w:t>
      </w:r>
    </w:p>
    <w:p w14:paraId="4B924B81" w14:textId="77777777" w:rsidR="00337F30" w:rsidRPr="00847C5F" w:rsidRDefault="00337F30" w:rsidP="00337F30">
      <w:pPr>
        <w:widowControl/>
        <w:tabs>
          <w:tab w:val="left" w:pos="567"/>
        </w:tabs>
        <w:suppressAutoHyphens w:val="0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46676A1B" w14:textId="6A1D7839" w:rsidR="00337F30" w:rsidRPr="00AA102A" w:rsidRDefault="00337F30" w:rsidP="00337F30">
      <w:pPr>
        <w:widowControl/>
        <w:tabs>
          <w:tab w:val="left" w:pos="567"/>
        </w:tabs>
        <w:suppressAutoHyphens w:val="0"/>
        <w:jc w:val="center"/>
        <w:rPr>
          <w:rFonts w:ascii="Times New Roman" w:hAnsi="Times New Roman" w:cs="Times New Roman"/>
          <w:lang w:eastAsia="en-US"/>
        </w:rPr>
      </w:pPr>
      <w:r w:rsidRPr="00AA102A">
        <w:rPr>
          <w:rFonts w:ascii="Times New Roman" w:hAnsi="Times New Roman" w:cs="Times New Roman"/>
          <w:lang w:eastAsia="en-US"/>
        </w:rPr>
        <w:t>202</w:t>
      </w:r>
      <w:r w:rsidR="00B1306D" w:rsidRPr="00AA102A">
        <w:rPr>
          <w:rFonts w:ascii="Times New Roman" w:hAnsi="Times New Roman" w:cs="Times New Roman"/>
          <w:lang w:eastAsia="en-US"/>
        </w:rPr>
        <w:t>6</w:t>
      </w:r>
      <w:r w:rsidRPr="00AA102A">
        <w:rPr>
          <w:rFonts w:ascii="Times New Roman" w:hAnsi="Times New Roman" w:cs="Times New Roman"/>
          <w:lang w:eastAsia="en-US"/>
        </w:rPr>
        <w:t xml:space="preserve"> m. </w:t>
      </w:r>
      <w:r w:rsidR="00B1306D" w:rsidRPr="00AA102A">
        <w:rPr>
          <w:rFonts w:ascii="Times New Roman" w:hAnsi="Times New Roman" w:cs="Times New Roman"/>
          <w:lang w:eastAsia="en-US"/>
        </w:rPr>
        <w:t xml:space="preserve">birželio 10 </w:t>
      </w:r>
      <w:r w:rsidRPr="00AA102A">
        <w:rPr>
          <w:rFonts w:ascii="Times New Roman" w:hAnsi="Times New Roman" w:cs="Times New Roman"/>
          <w:lang w:eastAsia="en-US"/>
        </w:rPr>
        <w:t xml:space="preserve">d. </w:t>
      </w:r>
    </w:p>
    <w:p w14:paraId="085E6A46" w14:textId="77777777" w:rsidR="00337F30" w:rsidRPr="00AA102A" w:rsidRDefault="00337F30" w:rsidP="00337F30">
      <w:pPr>
        <w:widowControl/>
        <w:tabs>
          <w:tab w:val="left" w:pos="567"/>
        </w:tabs>
        <w:suppressAutoHyphens w:val="0"/>
        <w:jc w:val="center"/>
        <w:rPr>
          <w:rFonts w:ascii="Times New Roman" w:hAnsi="Times New Roman" w:cs="Times New Roman"/>
          <w:lang w:eastAsia="en-US"/>
        </w:rPr>
      </w:pPr>
      <w:r w:rsidRPr="00AA102A">
        <w:rPr>
          <w:rFonts w:ascii="Times New Roman" w:hAnsi="Times New Roman" w:cs="Times New Roman"/>
          <w:lang w:eastAsia="en-US"/>
        </w:rPr>
        <w:t>Šilutė</w:t>
      </w:r>
    </w:p>
    <w:p w14:paraId="291FB874" w14:textId="77777777" w:rsidR="00337F30" w:rsidRPr="00847C5F" w:rsidRDefault="00337F30" w:rsidP="00337F30">
      <w:pPr>
        <w:widowControl/>
        <w:tabs>
          <w:tab w:val="left" w:pos="567"/>
        </w:tabs>
        <w:suppressAutoHyphens w:val="0"/>
        <w:ind w:left="567"/>
        <w:rPr>
          <w:rFonts w:ascii="Times New Roman" w:hAnsi="Times New Roman" w:cs="Times New Roman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F23149" w:rsidRPr="002A7BEE" w14:paraId="74C3710B" w14:textId="77777777" w:rsidTr="00197E2B">
        <w:tc>
          <w:tcPr>
            <w:tcW w:w="9854" w:type="dxa"/>
          </w:tcPr>
          <w:p w14:paraId="654A76FB" w14:textId="77777777" w:rsidR="00F23149" w:rsidRPr="002A7BEE" w:rsidRDefault="00F23149" w:rsidP="00197E2B">
            <w:pPr>
              <w:ind w:firstLine="5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A7BEE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1. Parengto projekto tikslai ir uždaviniai.</w:t>
            </w:r>
          </w:p>
        </w:tc>
      </w:tr>
      <w:tr w:rsidR="00F23149" w:rsidRPr="002A7BEE" w14:paraId="6DBCC699" w14:textId="77777777" w:rsidTr="00197E2B">
        <w:tc>
          <w:tcPr>
            <w:tcW w:w="9854" w:type="dxa"/>
          </w:tcPr>
          <w:p w14:paraId="08D4A87D" w14:textId="0B636E35" w:rsidR="00F23149" w:rsidRPr="0055260A" w:rsidRDefault="000D6FAF" w:rsidP="000D6FAF">
            <w:pPr>
              <w:tabs>
                <w:tab w:val="left" w:pos="596"/>
                <w:tab w:val="left" w:pos="880"/>
                <w:tab w:val="left" w:pos="8441"/>
              </w:tabs>
              <w:ind w:right="-34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               </w:t>
            </w:r>
            <w:r w:rsidR="00F23149" w:rsidRPr="0055260A"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>Sprendimo projekto tikslai:</w:t>
            </w:r>
          </w:p>
          <w:p w14:paraId="63DB280F" w14:textId="6913CF6A" w:rsidR="0055260A" w:rsidRPr="0055260A" w:rsidRDefault="00F23149" w:rsidP="00081BCD">
            <w:pPr>
              <w:pStyle w:val="Sraopastraipa"/>
              <w:numPr>
                <w:ilvl w:val="0"/>
                <w:numId w:val="1"/>
              </w:numPr>
              <w:tabs>
                <w:tab w:val="left" w:pos="596"/>
                <w:tab w:val="left" w:pos="880"/>
                <w:tab w:val="left" w:pos="8441"/>
              </w:tabs>
              <w:spacing w:after="0" w:line="240" w:lineRule="auto"/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</w:pPr>
            <w:r w:rsidRPr="005526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 xml:space="preserve">pritarti </w:t>
            </w:r>
            <w:r w:rsidR="00081BCD" w:rsidRPr="005526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prisidė</w:t>
            </w:r>
            <w:r w:rsidR="00E231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jimui</w:t>
            </w:r>
            <w:r w:rsidR="00081BCD" w:rsidRPr="005526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 xml:space="preserve"> prie </w:t>
            </w:r>
            <w:r w:rsidR="0055260A" w:rsidRPr="005526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 xml:space="preserve">Švėkšnos Šv. </w:t>
            </w:r>
            <w:r w:rsidR="00E231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>a</w:t>
            </w:r>
            <w:r w:rsidR="0055260A" w:rsidRPr="005526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lt-LT"/>
                <w14:ligatures w14:val="none"/>
              </w:rPr>
              <w:t xml:space="preserve">paštalo Jokūbo bažnyčios statinių komplekso Šv. </w:t>
            </w:r>
          </w:p>
          <w:p w14:paraId="40B1B75B" w14:textId="5259E15F" w:rsidR="00D94D76" w:rsidRPr="00D94D76" w:rsidRDefault="00E231E1" w:rsidP="00D94D76">
            <w:pPr>
              <w:tabs>
                <w:tab w:val="left" w:pos="596"/>
                <w:tab w:val="left" w:pos="880"/>
                <w:tab w:val="left" w:pos="8441"/>
              </w:tabs>
              <w:ind w:right="-34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>a</w:t>
            </w:r>
            <w:r w:rsidR="0055260A" w:rsidRPr="0055260A"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>paštalo Jokūbo bažnyčios (unikalus kodas K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>ultūros vertybių registre –</w:t>
            </w:r>
            <w:r w:rsidR="0055260A" w:rsidRPr="0055260A"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 1648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>,</w:t>
            </w:r>
            <w:r w:rsidR="0055260A" w:rsidRPr="0055260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lt-LT"/>
              </w:rPr>
              <w:t xml:space="preserve"> </w:t>
            </w:r>
            <w:r w:rsidR="0055260A" w:rsidRPr="0055260A"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>valstybės saugoma), Šilutės r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>.</w:t>
            </w:r>
            <w:r w:rsidR="0055260A" w:rsidRPr="0055260A"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 sav., Švėkšnos sen., Švėkšnos mstl.,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>B</w:t>
            </w:r>
            <w:r w:rsidR="0055260A" w:rsidRPr="0055260A"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ažnyčios g. 1, stogo ir fasadų tvarkybos darbų </w:t>
            </w:r>
            <w:r w:rsidR="00081BCD" w:rsidRPr="0055260A"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finansavimo iš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>s</w:t>
            </w:r>
            <w:r w:rsidR="00081BCD" w:rsidRPr="0055260A"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>avivaldybės biudžeto ne daugiau</w:t>
            </w:r>
            <w:r w:rsidR="00081BCD" w:rsidRPr="0055260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lt-LT"/>
              </w:rPr>
              <w:t xml:space="preserve"> </w:t>
            </w:r>
            <w:r w:rsidR="00081BCD" w:rsidRPr="0055260A"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kaip 50 proc. valstybės skiriamos lėšų sumos, patvirtintos </w:t>
            </w:r>
            <w:proofErr w:type="spellStart"/>
            <w:r w:rsidR="00081BCD" w:rsidRPr="0055260A"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>Paveldotvarkos</w:t>
            </w:r>
            <w:proofErr w:type="spellEnd"/>
            <w:r w:rsidR="00081BCD" w:rsidRPr="0055260A"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 programoje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>,</w:t>
            </w:r>
            <w:r w:rsidR="00D94D76"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 </w:t>
            </w:r>
            <w:r w:rsidR="00D94D76" w:rsidRPr="00D94D76"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>ir užtikrinti netinkamų finansuoti, tačiau būtinų išlaidų padengimą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>;</w:t>
            </w:r>
          </w:p>
          <w:p w14:paraId="65D9C08D" w14:textId="5D27DA3E" w:rsidR="00F23149" w:rsidRPr="002A7BEE" w:rsidRDefault="00D94D76" w:rsidP="00D94D76">
            <w:pPr>
              <w:tabs>
                <w:tab w:val="left" w:pos="596"/>
                <w:tab w:val="left" w:pos="880"/>
                <w:tab w:val="left" w:pos="8441"/>
              </w:tabs>
              <w:ind w:right="-34"/>
              <w:jc w:val="both"/>
              <w:rPr>
                <w:rFonts w:ascii="Times New Roman" w:hAnsi="Times New Roman" w:cs="Times New Roman"/>
                <w:i/>
                <w:szCs w:val="20"/>
                <w:u w:val="single"/>
                <w:shd w:val="clear" w:color="auto" w:fill="FFFFFF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        </w:t>
            </w:r>
            <w:r w:rsidR="00F23149" w:rsidRPr="0055260A"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– įgalioti Administracijos direktorių, o tarnybinių komandiruočių, atostogų, ligos ar kitais atvejais, kai jis negali eiti pareigų, </w:t>
            </w:r>
            <w:r w:rsidR="00E231E1"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>A</w:t>
            </w:r>
            <w:r w:rsidR="00F23149" w:rsidRPr="0055260A">
              <w:rPr>
                <w:rFonts w:ascii="Times New Roman" w:hAnsi="Times New Roman" w:cs="Times New Roman"/>
                <w:color w:val="000000"/>
                <w:shd w:val="clear" w:color="auto" w:fill="FFFFFF"/>
                <w:lang w:eastAsia="lt-LT"/>
              </w:rPr>
              <w:t>dministracijos direktorių pavaduojantį asmenį, pasirašyti visus su projektu susijusius dokumentus.</w:t>
            </w:r>
          </w:p>
        </w:tc>
      </w:tr>
      <w:tr w:rsidR="00F23149" w:rsidRPr="002A7BEE" w14:paraId="0C69EF9A" w14:textId="77777777" w:rsidTr="00197E2B">
        <w:tc>
          <w:tcPr>
            <w:tcW w:w="9854" w:type="dxa"/>
          </w:tcPr>
          <w:p w14:paraId="7E1BD291" w14:textId="77777777" w:rsidR="00F23149" w:rsidRPr="002A7BEE" w:rsidRDefault="00F23149" w:rsidP="00197E2B">
            <w:pPr>
              <w:ind w:firstLine="5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A7BEE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2. Kaip šiuo metu yra sureguliuoti projekte aptarti klausimai.</w:t>
            </w:r>
          </w:p>
        </w:tc>
      </w:tr>
      <w:tr w:rsidR="00F23149" w:rsidRPr="002A7BEE" w14:paraId="1878A6AD" w14:textId="77777777" w:rsidTr="00197E2B">
        <w:tc>
          <w:tcPr>
            <w:tcW w:w="9854" w:type="dxa"/>
          </w:tcPr>
          <w:p w14:paraId="7A28EDF3" w14:textId="5CEC6978" w:rsidR="00AB71B0" w:rsidRDefault="00AB71B0" w:rsidP="00220DFC">
            <w:pPr>
              <w:widowControl/>
              <w:suppressAutoHyphens w:val="0"/>
              <w:ind w:firstLine="873"/>
              <w:jc w:val="both"/>
              <w:rPr>
                <w:rFonts w:ascii="TimesNewRomanPSMT" w:hAnsi="TimesNewRomanPSMT" w:cs="TimesNewRomanPSMT"/>
              </w:rPr>
            </w:pPr>
            <w:r w:rsidRPr="00AB71B0">
              <w:rPr>
                <w:rFonts w:ascii="TimesNewRomanPSMT" w:hAnsi="TimesNewRomanPSMT" w:cs="TimesNewRomanPSMT"/>
              </w:rPr>
              <w:t>Švėkšnos Šv. apaštalo Jokūbo parapija iš Nekilnojamųjų kultūros vertybių tvarkybos darbų (</w:t>
            </w:r>
            <w:proofErr w:type="spellStart"/>
            <w:r w:rsidRPr="00AB71B0">
              <w:rPr>
                <w:rFonts w:ascii="TimesNewRomanPSMT" w:hAnsi="TimesNewRomanPSMT" w:cs="TimesNewRomanPSMT"/>
              </w:rPr>
              <w:t>Paveldotvarkos</w:t>
            </w:r>
            <w:proofErr w:type="spellEnd"/>
            <w:r w:rsidRPr="00AB71B0">
              <w:rPr>
                <w:rFonts w:ascii="TimesNewRomanPSMT" w:hAnsi="TimesNewRomanPSMT" w:cs="TimesNewRomanPSMT"/>
              </w:rPr>
              <w:t xml:space="preserve">) programos 2026–2028 m. laikotarpiu gaus 288 000,18 Eur valstybės finansavimą. Šios lėšos bus skirtos Švėkšnos Šv. apaštalo Jokūbo bažnyčios stogo ir fasadų tvarkybos darbams. </w:t>
            </w:r>
            <w:r w:rsidR="009C12EA">
              <w:rPr>
                <w:rFonts w:ascii="TimesNewRomanPSMT" w:hAnsi="TimesNewRomanPSMT" w:cs="TimesNewRomanPSMT"/>
              </w:rPr>
              <w:t xml:space="preserve">Už </w:t>
            </w:r>
            <w:r w:rsidR="00E231E1">
              <w:rPr>
                <w:rFonts w:ascii="TimesNewRomanPSMT" w:hAnsi="TimesNewRomanPSMT" w:cs="TimesNewRomanPSMT"/>
              </w:rPr>
              <w:t>t</w:t>
            </w:r>
            <w:r w:rsidR="009C12EA">
              <w:rPr>
                <w:rFonts w:ascii="TimesNewRomanPSMT" w:hAnsi="TimesNewRomanPSMT" w:cs="TimesNewRomanPSMT"/>
              </w:rPr>
              <w:t xml:space="preserve">varkybos darbų įgyvendinimą </w:t>
            </w:r>
            <w:r w:rsidR="008D1E5A">
              <w:rPr>
                <w:rFonts w:ascii="TimesNewRomanPSMT" w:hAnsi="TimesNewRomanPSMT" w:cs="TimesNewRomanPSMT"/>
              </w:rPr>
              <w:t xml:space="preserve">ir koordinavimą </w:t>
            </w:r>
            <w:r w:rsidR="009C12EA">
              <w:rPr>
                <w:rFonts w:ascii="TimesNewRomanPSMT" w:hAnsi="TimesNewRomanPSMT" w:cs="TimesNewRomanPSMT"/>
              </w:rPr>
              <w:t>atsakinga institucija – Kultūros ir infrastruktūros centras.</w:t>
            </w:r>
          </w:p>
          <w:p w14:paraId="26F09C4C" w14:textId="16ECB7EB" w:rsidR="00F23149" w:rsidRDefault="00220DFC" w:rsidP="00220DFC">
            <w:pPr>
              <w:widowControl/>
              <w:suppressAutoHyphens w:val="0"/>
              <w:ind w:firstLine="87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20DFC">
              <w:rPr>
                <w:rFonts w:ascii="Times New Roman" w:hAnsi="Times New Roman" w:cs="Times New Roman"/>
                <w:lang w:eastAsia="en-US"/>
              </w:rPr>
              <w:t>Vadovaujantis Šilutės rajono savivaldybės tradicinių religinių bendruomenių ir bendrijų rėmimo programos tvarkos aprašo, patvirtinto Šilutės rajono savivaldybės tarybos 2020 m. gruodžio 17 d. sprendimu Nr. T1-533</w:t>
            </w:r>
            <w:r w:rsidR="00E231E1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20DFC">
              <w:rPr>
                <w:rFonts w:ascii="Times New Roman" w:hAnsi="Times New Roman" w:cs="Times New Roman"/>
                <w:lang w:eastAsia="en-US"/>
              </w:rPr>
              <w:t>8 punktu</w:t>
            </w:r>
            <w:r w:rsidR="00E231E1">
              <w:rPr>
                <w:rFonts w:ascii="Times New Roman" w:hAnsi="Times New Roman" w:cs="Times New Roman"/>
                <w:lang w:eastAsia="en-US"/>
              </w:rPr>
              <w:t>:</w:t>
            </w:r>
            <w:r w:rsidR="00A5257F" w:rsidRPr="00A5257F">
              <w:rPr>
                <w:rFonts w:ascii="Times New Roman" w:hAnsi="Times New Roman" w:cs="Times New Roman"/>
                <w:lang w:eastAsia="en-US"/>
              </w:rPr>
              <w:t xml:space="preserve"> „D</w:t>
            </w:r>
            <w:r w:rsidR="00A5257F" w:rsidRPr="00A5257F">
              <w:rPr>
                <w:rFonts w:ascii="Times New Roman" w:hAnsi="Times New Roman" w:cs="Times New Roman" w:hint="eastAsia"/>
                <w:lang w:eastAsia="en-US"/>
              </w:rPr>
              <w:t>ė</w:t>
            </w:r>
            <w:r w:rsidR="00A5257F" w:rsidRPr="00A5257F">
              <w:rPr>
                <w:rFonts w:ascii="Times New Roman" w:hAnsi="Times New Roman" w:cs="Times New Roman"/>
                <w:lang w:eastAsia="en-US"/>
              </w:rPr>
              <w:t>l prisid</w:t>
            </w:r>
            <w:r w:rsidR="00A5257F" w:rsidRPr="00A5257F">
              <w:rPr>
                <w:rFonts w:ascii="Times New Roman" w:hAnsi="Times New Roman" w:cs="Times New Roman" w:hint="eastAsia"/>
                <w:lang w:eastAsia="en-US"/>
              </w:rPr>
              <w:t>ė</w:t>
            </w:r>
            <w:r w:rsidR="00A5257F" w:rsidRPr="00A5257F">
              <w:rPr>
                <w:rFonts w:ascii="Times New Roman" w:hAnsi="Times New Roman" w:cs="Times New Roman"/>
                <w:lang w:eastAsia="en-US"/>
              </w:rPr>
              <w:t>jimo Savivaldyb</w:t>
            </w:r>
            <w:r w:rsidR="00A5257F" w:rsidRPr="00A5257F">
              <w:rPr>
                <w:rFonts w:ascii="Times New Roman" w:hAnsi="Times New Roman" w:cs="Times New Roman" w:hint="eastAsia"/>
                <w:lang w:eastAsia="en-US"/>
              </w:rPr>
              <w:t>ė</w:t>
            </w:r>
            <w:r w:rsidR="00A5257F" w:rsidRPr="00A5257F">
              <w:rPr>
                <w:rFonts w:ascii="Times New Roman" w:hAnsi="Times New Roman" w:cs="Times New Roman"/>
                <w:lang w:eastAsia="en-US"/>
              </w:rPr>
              <w:t>s biud</w:t>
            </w:r>
            <w:r w:rsidR="00A5257F" w:rsidRPr="00A5257F">
              <w:rPr>
                <w:rFonts w:ascii="Times New Roman" w:hAnsi="Times New Roman" w:cs="Times New Roman" w:hint="eastAsia"/>
                <w:lang w:eastAsia="en-US"/>
              </w:rPr>
              <w:t>ž</w:t>
            </w:r>
            <w:r w:rsidR="00A5257F" w:rsidRPr="00A5257F">
              <w:rPr>
                <w:rFonts w:ascii="Times New Roman" w:hAnsi="Times New Roman" w:cs="Times New Roman"/>
                <w:lang w:eastAsia="en-US"/>
              </w:rPr>
              <w:t>eto l</w:t>
            </w:r>
            <w:r w:rsidR="00A5257F" w:rsidRPr="00A5257F">
              <w:rPr>
                <w:rFonts w:ascii="Times New Roman" w:hAnsi="Times New Roman" w:cs="Times New Roman" w:hint="eastAsia"/>
                <w:lang w:eastAsia="en-US"/>
              </w:rPr>
              <w:t>ėš</w:t>
            </w:r>
            <w:r w:rsidR="00A5257F" w:rsidRPr="00A5257F">
              <w:rPr>
                <w:rFonts w:ascii="Times New Roman" w:hAnsi="Times New Roman" w:cs="Times New Roman"/>
                <w:lang w:eastAsia="en-US"/>
              </w:rPr>
              <w:t>omis projektuose, finansuojamuose i</w:t>
            </w:r>
            <w:r w:rsidR="00A5257F" w:rsidRPr="00A5257F">
              <w:rPr>
                <w:rFonts w:ascii="Times New Roman" w:hAnsi="Times New Roman" w:cs="Times New Roman" w:hint="eastAsia"/>
                <w:lang w:eastAsia="en-US"/>
              </w:rPr>
              <w:t>š</w:t>
            </w:r>
            <w:r w:rsidR="00A5257F" w:rsidRPr="00A5257F">
              <w:rPr>
                <w:rFonts w:ascii="Times New Roman" w:hAnsi="Times New Roman" w:cs="Times New Roman"/>
                <w:lang w:eastAsia="en-US"/>
              </w:rPr>
              <w:t xml:space="preserve"> Europos S</w:t>
            </w:r>
            <w:r w:rsidR="00A5257F" w:rsidRPr="00A5257F">
              <w:rPr>
                <w:rFonts w:ascii="Times New Roman" w:hAnsi="Times New Roman" w:cs="Times New Roman" w:hint="eastAsia"/>
                <w:lang w:eastAsia="en-US"/>
              </w:rPr>
              <w:t>ą</w:t>
            </w:r>
            <w:r w:rsidR="00A5257F" w:rsidRPr="00A5257F">
              <w:rPr>
                <w:rFonts w:ascii="Times New Roman" w:hAnsi="Times New Roman" w:cs="Times New Roman"/>
                <w:lang w:eastAsia="en-US"/>
              </w:rPr>
              <w:t>jungos strukt</w:t>
            </w:r>
            <w:r w:rsidR="00A5257F" w:rsidRPr="00A5257F">
              <w:rPr>
                <w:rFonts w:ascii="Times New Roman" w:hAnsi="Times New Roman" w:cs="Times New Roman" w:hint="eastAsia"/>
                <w:lang w:eastAsia="en-US"/>
              </w:rPr>
              <w:t>ū</w:t>
            </w:r>
            <w:r w:rsidR="00A5257F" w:rsidRPr="00A5257F">
              <w:rPr>
                <w:rFonts w:ascii="Times New Roman" w:hAnsi="Times New Roman" w:cs="Times New Roman"/>
                <w:lang w:eastAsia="en-US"/>
              </w:rPr>
              <w:t>rini</w:t>
            </w:r>
            <w:r w:rsidR="00A5257F" w:rsidRPr="00A5257F">
              <w:rPr>
                <w:rFonts w:ascii="Times New Roman" w:hAnsi="Times New Roman" w:cs="Times New Roman" w:hint="eastAsia"/>
                <w:lang w:eastAsia="en-US"/>
              </w:rPr>
              <w:t>ų</w:t>
            </w:r>
            <w:r w:rsidR="00A5257F" w:rsidRPr="00A5257F">
              <w:rPr>
                <w:rFonts w:ascii="Times New Roman" w:hAnsi="Times New Roman" w:cs="Times New Roman"/>
                <w:lang w:eastAsia="en-US"/>
              </w:rPr>
              <w:t xml:space="preserve"> ir kit</w:t>
            </w:r>
            <w:r w:rsidR="00A5257F" w:rsidRPr="00A5257F">
              <w:rPr>
                <w:rFonts w:ascii="Times New Roman" w:hAnsi="Times New Roman" w:cs="Times New Roman" w:hint="eastAsia"/>
                <w:lang w:eastAsia="en-US"/>
              </w:rPr>
              <w:t>ų</w:t>
            </w:r>
            <w:r w:rsidR="00A5257F" w:rsidRPr="00A5257F">
              <w:rPr>
                <w:rFonts w:ascii="Times New Roman" w:hAnsi="Times New Roman" w:cs="Times New Roman"/>
                <w:lang w:eastAsia="en-US"/>
              </w:rPr>
              <w:t xml:space="preserve"> fond</w:t>
            </w:r>
            <w:r w:rsidR="00A5257F" w:rsidRPr="00A5257F">
              <w:rPr>
                <w:rFonts w:ascii="Times New Roman" w:hAnsi="Times New Roman" w:cs="Times New Roman" w:hint="eastAsia"/>
                <w:lang w:eastAsia="en-US"/>
              </w:rPr>
              <w:t>ų</w:t>
            </w:r>
            <w:r w:rsidR="00A5257F" w:rsidRPr="00A5257F">
              <w:rPr>
                <w:rFonts w:ascii="Times New Roman" w:hAnsi="Times New Roman" w:cs="Times New Roman"/>
                <w:lang w:eastAsia="en-US"/>
              </w:rPr>
              <w:t xml:space="preserve"> (program</w:t>
            </w:r>
            <w:r w:rsidR="00A5257F" w:rsidRPr="00A5257F">
              <w:rPr>
                <w:rFonts w:ascii="Times New Roman" w:hAnsi="Times New Roman" w:cs="Times New Roman" w:hint="eastAsia"/>
                <w:lang w:eastAsia="en-US"/>
              </w:rPr>
              <w:t>ų</w:t>
            </w:r>
            <w:r w:rsidR="00A5257F" w:rsidRPr="00A5257F">
              <w:rPr>
                <w:rFonts w:ascii="Times New Roman" w:hAnsi="Times New Roman" w:cs="Times New Roman"/>
                <w:lang w:eastAsia="en-US"/>
              </w:rPr>
              <w:t>), bet ne daugiau nei 50 procent</w:t>
            </w:r>
            <w:r w:rsidR="00A5257F" w:rsidRPr="00A5257F">
              <w:rPr>
                <w:rFonts w:ascii="Times New Roman" w:hAnsi="Times New Roman" w:cs="Times New Roman" w:hint="eastAsia"/>
                <w:lang w:eastAsia="en-US"/>
              </w:rPr>
              <w:t>ų</w:t>
            </w:r>
            <w:r w:rsidR="00A5257F" w:rsidRPr="00A5257F">
              <w:rPr>
                <w:rFonts w:ascii="Times New Roman" w:hAnsi="Times New Roman" w:cs="Times New Roman"/>
                <w:lang w:eastAsia="en-US"/>
              </w:rPr>
              <w:t xml:space="preserve"> nuo projekto vert</w:t>
            </w:r>
            <w:r w:rsidR="00A5257F" w:rsidRPr="00A5257F">
              <w:rPr>
                <w:rFonts w:ascii="Times New Roman" w:hAnsi="Times New Roman" w:cs="Times New Roman" w:hint="eastAsia"/>
                <w:lang w:eastAsia="en-US"/>
              </w:rPr>
              <w:t>ė</w:t>
            </w:r>
            <w:r w:rsidR="00A5257F" w:rsidRPr="00A5257F">
              <w:rPr>
                <w:rFonts w:ascii="Times New Roman" w:hAnsi="Times New Roman" w:cs="Times New Roman"/>
                <w:lang w:eastAsia="en-US"/>
              </w:rPr>
              <w:t>s, rengiami atskiri tarybos sprendimai“</w:t>
            </w:r>
            <w:r w:rsidR="00E231E1">
              <w:rPr>
                <w:rFonts w:ascii="Times New Roman" w:hAnsi="Times New Roman" w:cs="Times New Roman"/>
                <w:lang w:eastAsia="en-US"/>
              </w:rPr>
              <w:t>,</w:t>
            </w:r>
            <w:r w:rsidR="00614CA8">
              <w:rPr>
                <w:rFonts w:ascii="Times New Roman" w:hAnsi="Times New Roman" w:cs="Times New Roman"/>
                <w:lang w:eastAsia="en-US"/>
              </w:rPr>
              <w:t xml:space="preserve"> parengtas šis sprendimo projektas.</w:t>
            </w:r>
          </w:p>
          <w:p w14:paraId="149E503B" w14:textId="0EC6C2B9" w:rsidR="000D6FAF" w:rsidRPr="00A5257F" w:rsidRDefault="000D6FAF" w:rsidP="000D6FAF">
            <w:pPr>
              <w:widowControl/>
              <w:suppressAutoHyphens w:val="0"/>
              <w:ind w:firstLine="873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23149" w:rsidRPr="002A7BEE" w14:paraId="58EA23A6" w14:textId="77777777" w:rsidTr="00197E2B">
        <w:tc>
          <w:tcPr>
            <w:tcW w:w="9854" w:type="dxa"/>
          </w:tcPr>
          <w:p w14:paraId="679EFA03" w14:textId="77777777" w:rsidR="00F23149" w:rsidRPr="002A7BEE" w:rsidRDefault="00F23149" w:rsidP="00197E2B">
            <w:pPr>
              <w:ind w:firstLine="589"/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</w:pPr>
            <w:r w:rsidRPr="002A7BEE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3. Kokių pozityvių rezultatų laukiama.</w:t>
            </w:r>
          </w:p>
        </w:tc>
      </w:tr>
      <w:tr w:rsidR="00F23149" w:rsidRPr="002A7BEE" w14:paraId="179876F6" w14:textId="77777777" w:rsidTr="00197E2B">
        <w:tc>
          <w:tcPr>
            <w:tcW w:w="9854" w:type="dxa"/>
          </w:tcPr>
          <w:p w14:paraId="39D16A09" w14:textId="7496FE7A" w:rsidR="00F23149" w:rsidRDefault="00757DC9" w:rsidP="00197E2B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lang w:eastAsia="lt-LT"/>
              </w:rPr>
            </w:pPr>
            <w:r w:rsidRPr="004B1EDD">
              <w:rPr>
                <w:lang w:eastAsia="lt-LT"/>
              </w:rPr>
              <w:t xml:space="preserve">Atlikti </w:t>
            </w:r>
            <w:r w:rsidR="004B1EDD" w:rsidRPr="004B1EDD">
              <w:rPr>
                <w:lang w:eastAsia="lt-LT"/>
              </w:rPr>
              <w:t>Švėkšnos Šv. apaštalo Jokūbo bažnyčios statinių komplekso Šv. apaštalo Jokūbo bažnyčios stogo ir fasadų tvarkybos darbai 2026</w:t>
            </w:r>
            <w:r w:rsidR="00E231E1">
              <w:rPr>
                <w:lang w:eastAsia="lt-LT"/>
              </w:rPr>
              <w:t>–</w:t>
            </w:r>
            <w:r w:rsidRPr="004B1EDD">
              <w:rPr>
                <w:lang w:eastAsia="lt-LT"/>
              </w:rPr>
              <w:t>202</w:t>
            </w:r>
            <w:r w:rsidR="004B1EDD" w:rsidRPr="004B1EDD">
              <w:rPr>
                <w:lang w:eastAsia="lt-LT"/>
              </w:rPr>
              <w:t>8</w:t>
            </w:r>
            <w:r w:rsidRPr="004B1EDD">
              <w:rPr>
                <w:lang w:eastAsia="lt-LT"/>
              </w:rPr>
              <w:t xml:space="preserve"> metais.</w:t>
            </w:r>
          </w:p>
          <w:p w14:paraId="61BFD698" w14:textId="5FAD7F03" w:rsidR="001D169D" w:rsidRPr="00095687" w:rsidRDefault="001D169D" w:rsidP="00197E2B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lang w:eastAsia="lt-LT"/>
              </w:rPr>
            </w:pPr>
            <w:r w:rsidRPr="001D169D">
              <w:rPr>
                <w:lang w:eastAsia="lt-LT"/>
              </w:rPr>
              <w:t xml:space="preserve">Savivaldybės </w:t>
            </w:r>
            <w:r>
              <w:rPr>
                <w:lang w:eastAsia="lt-LT"/>
              </w:rPr>
              <w:t xml:space="preserve">finansinis </w:t>
            </w:r>
            <w:r w:rsidRPr="001D169D">
              <w:rPr>
                <w:lang w:eastAsia="lt-LT"/>
              </w:rPr>
              <w:t>prisidėjimas leis</w:t>
            </w:r>
            <w:r>
              <w:rPr>
                <w:lang w:eastAsia="lt-LT"/>
              </w:rPr>
              <w:t xml:space="preserve"> </w:t>
            </w:r>
            <w:r w:rsidRPr="001D169D">
              <w:rPr>
                <w:lang w:eastAsia="lt-LT"/>
              </w:rPr>
              <w:t xml:space="preserve">spartinti tvarkybos darbų eigą, užtikrinti </w:t>
            </w:r>
            <w:r w:rsidR="00E231E1">
              <w:rPr>
                <w:lang w:eastAsia="lt-LT"/>
              </w:rPr>
              <w:t>laiku atliekamą</w:t>
            </w:r>
            <w:r w:rsidRPr="001D169D">
              <w:rPr>
                <w:lang w:eastAsia="lt-LT"/>
              </w:rPr>
              <w:t xml:space="preserve"> ir kokybišką projekto įgyvendinimą, sumažinti riziką, kad darbai užsitęs ir dalis jų liks nebaigti pasibaigus </w:t>
            </w:r>
            <w:proofErr w:type="spellStart"/>
            <w:r>
              <w:rPr>
                <w:lang w:eastAsia="lt-LT"/>
              </w:rPr>
              <w:t>Paveldotvarkos</w:t>
            </w:r>
            <w:proofErr w:type="spellEnd"/>
            <w:r>
              <w:rPr>
                <w:lang w:eastAsia="lt-LT"/>
              </w:rPr>
              <w:t xml:space="preserve"> </w:t>
            </w:r>
            <w:r w:rsidRPr="001D169D">
              <w:rPr>
                <w:lang w:eastAsia="lt-LT"/>
              </w:rPr>
              <w:t>programos finansavimo laikotarpiui.</w:t>
            </w:r>
          </w:p>
        </w:tc>
      </w:tr>
      <w:tr w:rsidR="00F23149" w:rsidRPr="002A7BEE" w14:paraId="7B9435C5" w14:textId="77777777" w:rsidTr="00197E2B">
        <w:tc>
          <w:tcPr>
            <w:tcW w:w="9854" w:type="dxa"/>
          </w:tcPr>
          <w:p w14:paraId="4F188ADE" w14:textId="77777777" w:rsidR="00F23149" w:rsidRPr="002A7BEE" w:rsidRDefault="00F23149" w:rsidP="00197E2B">
            <w:pPr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</w:pPr>
            <w:r w:rsidRPr="002A7BEE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4. Galimos neigiamos priimto projekto pasekmės ir kokių priemonių reikėtų imtis, kad tokių pasekmių būtų išvengta.</w:t>
            </w:r>
          </w:p>
        </w:tc>
      </w:tr>
      <w:tr w:rsidR="00F23149" w:rsidRPr="002A7BEE" w14:paraId="3DDD38FE" w14:textId="77777777" w:rsidTr="00197E2B">
        <w:tc>
          <w:tcPr>
            <w:tcW w:w="9854" w:type="dxa"/>
          </w:tcPr>
          <w:p w14:paraId="45C551BA" w14:textId="1737F94E" w:rsidR="00427046" w:rsidRPr="00427046" w:rsidRDefault="00427046" w:rsidP="00197E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3149" w:rsidRPr="002A7BEE" w14:paraId="3760CF33" w14:textId="77777777" w:rsidTr="00197E2B">
        <w:tc>
          <w:tcPr>
            <w:tcW w:w="9854" w:type="dxa"/>
          </w:tcPr>
          <w:p w14:paraId="6AE03BBE" w14:textId="77777777" w:rsidR="00F23149" w:rsidRPr="002A7BEE" w:rsidRDefault="00F23149" w:rsidP="00197E2B">
            <w:pPr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</w:pPr>
            <w:r w:rsidRPr="002A7BEE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F23149" w:rsidRPr="002A7BEE" w14:paraId="61C86CCD" w14:textId="77777777" w:rsidTr="00197E2B">
        <w:tc>
          <w:tcPr>
            <w:tcW w:w="9854" w:type="dxa"/>
          </w:tcPr>
          <w:p w14:paraId="17F9B604" w14:textId="69D11A31" w:rsidR="00F23149" w:rsidRPr="002A7BEE" w:rsidRDefault="00034969" w:rsidP="00197E2B">
            <w:pPr>
              <w:ind w:firstLine="589"/>
              <w:jc w:val="both"/>
              <w:rPr>
                <w:rFonts w:ascii="Times New Roman" w:hAnsi="Times New Roman" w:cs="Times New Roman"/>
                <w:szCs w:val="20"/>
              </w:rPr>
            </w:pPr>
            <w:r w:rsidRPr="00034969">
              <w:rPr>
                <w:rFonts w:ascii="Times New Roman" w:hAnsi="Times New Roman" w:cs="Times New Roman"/>
                <w:szCs w:val="20"/>
              </w:rPr>
              <w:t>Galioja Šilutės rajono savivaldybės tarybos 2020 m. gruodžio 17 d. sprendimas Nr.T1-533 „Dėl Šilutės rajono savivaldybės tradicinių religinių bendruomenių ir bendrijų rėmimo programos tvarkos aprašo patvirtinimo“.</w:t>
            </w:r>
          </w:p>
        </w:tc>
      </w:tr>
      <w:tr w:rsidR="00F23149" w:rsidRPr="002A7BEE" w14:paraId="45948F02" w14:textId="77777777" w:rsidTr="00197E2B">
        <w:tc>
          <w:tcPr>
            <w:tcW w:w="9854" w:type="dxa"/>
          </w:tcPr>
          <w:p w14:paraId="6102DAE6" w14:textId="77777777" w:rsidR="00F23149" w:rsidRPr="002A7BEE" w:rsidRDefault="00F23149" w:rsidP="00197E2B">
            <w:pPr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</w:pPr>
            <w:r w:rsidRPr="002A7BEE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F23149" w:rsidRPr="002A7BEE" w14:paraId="626E653A" w14:textId="77777777" w:rsidTr="00197E2B">
        <w:tc>
          <w:tcPr>
            <w:tcW w:w="9854" w:type="dxa"/>
          </w:tcPr>
          <w:p w14:paraId="6F3F1751" w14:textId="77777777" w:rsidR="00F23149" w:rsidRPr="002A7BEE" w:rsidRDefault="00F23149" w:rsidP="00197E2B">
            <w:pPr>
              <w:ind w:firstLine="596"/>
              <w:jc w:val="both"/>
              <w:rPr>
                <w:rFonts w:ascii="Times New Roman" w:hAnsi="Times New Roman" w:cs="Times New Roman"/>
                <w:szCs w:val="20"/>
              </w:rPr>
            </w:pPr>
            <w:r w:rsidRPr="002A7BEE">
              <w:rPr>
                <w:rFonts w:ascii="Times New Roman" w:hAnsi="Times New Roman" w:cs="Times New Roman"/>
                <w:lang w:eastAsia="lt-LT"/>
              </w:rPr>
              <w:lastRenderedPageBreak/>
              <w:t>Antikorupcinis vertinimas nereikalingas.</w:t>
            </w:r>
          </w:p>
        </w:tc>
      </w:tr>
      <w:tr w:rsidR="00F23149" w:rsidRPr="002A7BEE" w14:paraId="49F39D59" w14:textId="77777777" w:rsidTr="00197E2B">
        <w:tc>
          <w:tcPr>
            <w:tcW w:w="9854" w:type="dxa"/>
          </w:tcPr>
          <w:p w14:paraId="402E4400" w14:textId="77777777" w:rsidR="00F23149" w:rsidRPr="002A7BEE" w:rsidRDefault="00F23149" w:rsidP="00197E2B">
            <w:pPr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</w:pPr>
            <w:r w:rsidRPr="002A7BEE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F23149" w:rsidRPr="002A7BEE" w14:paraId="671F450C" w14:textId="77777777" w:rsidTr="00197E2B">
        <w:tc>
          <w:tcPr>
            <w:tcW w:w="9854" w:type="dxa"/>
          </w:tcPr>
          <w:p w14:paraId="349B9917" w14:textId="1DEE7720" w:rsidR="00F23149" w:rsidRDefault="009C12EA" w:rsidP="009C12EA">
            <w:pPr>
              <w:widowControl/>
              <w:suppressAutoHyphens w:val="0"/>
              <w:spacing w:line="259" w:lineRule="auto"/>
              <w:ind w:firstLine="873"/>
              <w:jc w:val="both"/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</w:pPr>
            <w:r>
              <w:t xml:space="preserve">Švėkšnos Šv. apaštalo Jokūbo bažnyčios stogo ir fasadų tvarkybos darbams 2026–2028 m. planuojama skirti 432 000,27 Eur, iš jų valstybės biudžeto lėšos – 288 000,18 Eur, </w:t>
            </w:r>
            <w:r w:rsidR="00E231E1">
              <w:t>s</w:t>
            </w:r>
            <w:r>
              <w:t>avivaldybės biudžeto lėšos</w:t>
            </w:r>
            <w:r w:rsidR="00D7532B">
              <w:t xml:space="preserve"> </w:t>
            </w:r>
            <w:r>
              <w:t>– 144 000,09 Eur.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6"/>
              <w:gridCol w:w="1582"/>
              <w:gridCol w:w="1554"/>
              <w:gridCol w:w="1582"/>
              <w:gridCol w:w="1498"/>
            </w:tblGrid>
            <w:tr w:rsidR="00B8734F" w:rsidRPr="00942E0C" w14:paraId="210C5AE9" w14:textId="77777777" w:rsidTr="00197E2B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0B0AC4" w14:textId="77777777" w:rsidR="00B8734F" w:rsidRPr="00942E0C" w:rsidRDefault="00B8734F" w:rsidP="00B8734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eastAsia="lt-LT"/>
                    </w:rPr>
                  </w:pPr>
                  <w:r w:rsidRPr="00942E0C">
                    <w:rPr>
                      <w:rFonts w:ascii="Times New Roman" w:hAnsi="Times New Roman" w:cs="Times New Roman"/>
                      <w:b/>
                      <w:bCs/>
                      <w:lang w:eastAsia="lt-LT"/>
                    </w:rPr>
                    <w:t>Finansavimo šaltinis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A8DAAA" w14:textId="77777777" w:rsidR="00B8734F" w:rsidRPr="00942E0C" w:rsidRDefault="00B8734F" w:rsidP="00B8734F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lang w:eastAsia="lt-LT"/>
                    </w:rPr>
                  </w:pPr>
                  <w:r w:rsidRPr="00942E0C">
                    <w:rPr>
                      <w:rFonts w:ascii="Times New Roman" w:hAnsi="Times New Roman" w:cs="Times New Roman"/>
                      <w:b/>
                      <w:bCs/>
                      <w:lang w:eastAsia="lt-LT"/>
                    </w:rPr>
                    <w:t>2026 m., tūkst. Eur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D9A751" w14:textId="77777777" w:rsidR="00B8734F" w:rsidRPr="00942E0C" w:rsidRDefault="00B8734F" w:rsidP="00B8734F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lang w:eastAsia="lt-LT"/>
                    </w:rPr>
                  </w:pPr>
                  <w:r w:rsidRPr="00942E0C">
                    <w:rPr>
                      <w:rFonts w:ascii="Times New Roman" w:hAnsi="Times New Roman" w:cs="Times New Roman"/>
                      <w:b/>
                      <w:bCs/>
                      <w:lang w:eastAsia="lt-LT"/>
                    </w:rPr>
                    <w:t>2027 m., tūkst. Eur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F4960E" w14:textId="77777777" w:rsidR="00B8734F" w:rsidRPr="00942E0C" w:rsidRDefault="00B8734F" w:rsidP="00B8734F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lang w:eastAsia="lt-LT"/>
                    </w:rPr>
                  </w:pPr>
                  <w:r w:rsidRPr="00942E0C">
                    <w:rPr>
                      <w:rFonts w:ascii="Times New Roman" w:hAnsi="Times New Roman" w:cs="Times New Roman"/>
                      <w:b/>
                      <w:bCs/>
                      <w:lang w:eastAsia="lt-LT"/>
                    </w:rPr>
                    <w:t>2028 m., tūkst. Eur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D89CD" w14:textId="77777777" w:rsidR="00B8734F" w:rsidRPr="00942E0C" w:rsidRDefault="00B8734F" w:rsidP="00B8734F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lang w:eastAsia="lt-LT"/>
                    </w:rPr>
                  </w:pPr>
                  <w:r w:rsidRPr="00942E0C">
                    <w:rPr>
                      <w:rFonts w:ascii="Times New Roman" w:hAnsi="Times New Roman" w:cs="Times New Roman"/>
                      <w:b/>
                      <w:bCs/>
                      <w:lang w:eastAsia="lt-LT"/>
                    </w:rPr>
                    <w:t>Iš viso, tūkst. Eur</w:t>
                  </w:r>
                </w:p>
              </w:tc>
            </w:tr>
            <w:tr w:rsidR="00B8734F" w:rsidRPr="00942E0C" w14:paraId="20B8E6AD" w14:textId="77777777" w:rsidTr="00197E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086386" w14:textId="77777777" w:rsidR="00B8734F" w:rsidRPr="00942E0C" w:rsidRDefault="00B8734F" w:rsidP="00B8734F">
                  <w:pPr>
                    <w:rPr>
                      <w:rFonts w:ascii="Times New Roman" w:hAnsi="Times New Roman" w:cs="Times New Roman"/>
                      <w:lang w:eastAsia="lt-LT"/>
                    </w:rPr>
                  </w:pPr>
                  <w:r w:rsidRPr="00942E0C">
                    <w:rPr>
                      <w:rFonts w:ascii="Times New Roman" w:hAnsi="Times New Roman" w:cs="Times New Roman"/>
                      <w:lang w:eastAsia="lt-LT"/>
                    </w:rPr>
                    <w:t>Valstybės biudžeto lėšos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DF0570" w14:textId="77777777" w:rsidR="00B8734F" w:rsidRPr="00942E0C" w:rsidRDefault="00B8734F" w:rsidP="00B8734F">
                  <w:pPr>
                    <w:jc w:val="right"/>
                    <w:rPr>
                      <w:rFonts w:ascii="Times New Roman" w:hAnsi="Times New Roman" w:cs="Times New Roman"/>
                      <w:lang w:eastAsia="lt-LT"/>
                    </w:rPr>
                  </w:pPr>
                  <w:r w:rsidRPr="00942E0C">
                    <w:rPr>
                      <w:rFonts w:ascii="Times New Roman" w:hAnsi="Times New Roman" w:cs="Times New Roman"/>
                      <w:lang w:eastAsia="lt-LT"/>
                    </w:rPr>
                    <w:t>154,18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E079F8" w14:textId="77777777" w:rsidR="00B8734F" w:rsidRPr="00942E0C" w:rsidRDefault="00B8734F" w:rsidP="00B8734F">
                  <w:pPr>
                    <w:jc w:val="right"/>
                    <w:rPr>
                      <w:rFonts w:ascii="Times New Roman" w:hAnsi="Times New Roman" w:cs="Times New Roman"/>
                      <w:lang w:eastAsia="lt-LT"/>
                    </w:rPr>
                  </w:pPr>
                  <w:r w:rsidRPr="00942E0C">
                    <w:rPr>
                      <w:rFonts w:ascii="Times New Roman" w:hAnsi="Times New Roman" w:cs="Times New Roman"/>
                      <w:lang w:eastAsia="lt-LT"/>
                    </w:rPr>
                    <w:t>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B40897" w14:textId="77777777" w:rsidR="00B8734F" w:rsidRPr="00942E0C" w:rsidRDefault="00B8734F" w:rsidP="00B8734F">
                  <w:pPr>
                    <w:jc w:val="right"/>
                    <w:rPr>
                      <w:rFonts w:ascii="Times New Roman" w:hAnsi="Times New Roman" w:cs="Times New Roman"/>
                      <w:lang w:eastAsia="lt-LT"/>
                    </w:rPr>
                  </w:pPr>
                  <w:r w:rsidRPr="00942E0C">
                    <w:rPr>
                      <w:rFonts w:ascii="Times New Roman" w:hAnsi="Times New Roman" w:cs="Times New Roman"/>
                      <w:lang w:eastAsia="lt-LT"/>
                    </w:rPr>
                    <w:t>74,00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A7F78" w14:textId="77777777" w:rsidR="00B8734F" w:rsidRPr="00942E0C" w:rsidRDefault="00B8734F" w:rsidP="00B8734F">
                  <w:pPr>
                    <w:jc w:val="right"/>
                    <w:rPr>
                      <w:rFonts w:ascii="Times New Roman" w:hAnsi="Times New Roman" w:cs="Times New Roman"/>
                      <w:lang w:eastAsia="lt-LT"/>
                    </w:rPr>
                  </w:pPr>
                  <w:r w:rsidRPr="00942E0C">
                    <w:rPr>
                      <w:rFonts w:ascii="Times New Roman" w:hAnsi="Times New Roman" w:cs="Times New Roman"/>
                      <w:lang w:eastAsia="lt-LT"/>
                    </w:rPr>
                    <w:t>288,18</w:t>
                  </w:r>
                </w:p>
              </w:tc>
            </w:tr>
            <w:tr w:rsidR="00B8734F" w:rsidRPr="00942E0C" w14:paraId="3B32967B" w14:textId="77777777" w:rsidTr="00197E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764AA5" w14:textId="77777777" w:rsidR="00B8734F" w:rsidRPr="00942E0C" w:rsidRDefault="00B8734F" w:rsidP="00B8734F">
                  <w:pPr>
                    <w:rPr>
                      <w:rFonts w:ascii="Times New Roman" w:hAnsi="Times New Roman" w:cs="Times New Roman"/>
                      <w:lang w:eastAsia="lt-LT"/>
                    </w:rPr>
                  </w:pPr>
                  <w:r w:rsidRPr="00942E0C">
                    <w:rPr>
                      <w:rFonts w:ascii="Times New Roman" w:hAnsi="Times New Roman" w:cs="Times New Roman"/>
                      <w:lang w:eastAsia="lt-LT"/>
                    </w:rPr>
                    <w:t>Šilutės rajono savivaldybės biudžeto lėšos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1A86F1" w14:textId="77777777" w:rsidR="00B8734F" w:rsidRPr="00942E0C" w:rsidRDefault="00B8734F" w:rsidP="00B8734F">
                  <w:pPr>
                    <w:jc w:val="right"/>
                    <w:rPr>
                      <w:rFonts w:ascii="Times New Roman" w:hAnsi="Times New Roman" w:cs="Times New Roman"/>
                      <w:lang w:eastAsia="lt-LT"/>
                    </w:rPr>
                  </w:pPr>
                  <w:r w:rsidRPr="00942E0C">
                    <w:rPr>
                      <w:rFonts w:ascii="Times New Roman" w:hAnsi="Times New Roman" w:cs="Times New Roman"/>
                      <w:lang w:eastAsia="lt-LT"/>
                    </w:rPr>
                    <w:t>77,09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B78DB6" w14:textId="77777777" w:rsidR="00B8734F" w:rsidRPr="00942E0C" w:rsidRDefault="00B8734F" w:rsidP="00B8734F">
                  <w:pPr>
                    <w:jc w:val="right"/>
                    <w:rPr>
                      <w:rFonts w:ascii="Times New Roman" w:hAnsi="Times New Roman" w:cs="Times New Roman"/>
                      <w:lang w:eastAsia="lt-LT"/>
                    </w:rPr>
                  </w:pPr>
                  <w:r w:rsidRPr="00942E0C">
                    <w:rPr>
                      <w:rFonts w:ascii="Times New Roman" w:hAnsi="Times New Roman" w:cs="Times New Roman"/>
                      <w:lang w:eastAsia="lt-LT"/>
                    </w:rPr>
                    <w:t>30,00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C467DE" w14:textId="77777777" w:rsidR="00B8734F" w:rsidRPr="00942E0C" w:rsidRDefault="00B8734F" w:rsidP="00B8734F">
                  <w:pPr>
                    <w:jc w:val="right"/>
                    <w:rPr>
                      <w:rFonts w:ascii="Times New Roman" w:hAnsi="Times New Roman" w:cs="Times New Roman"/>
                      <w:lang w:eastAsia="lt-LT"/>
                    </w:rPr>
                  </w:pPr>
                  <w:r w:rsidRPr="00942E0C">
                    <w:rPr>
                      <w:rFonts w:ascii="Times New Roman" w:hAnsi="Times New Roman" w:cs="Times New Roman"/>
                      <w:lang w:eastAsia="lt-LT"/>
                    </w:rPr>
                    <w:t>37,00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D186F2" w14:textId="77777777" w:rsidR="00B8734F" w:rsidRPr="00942E0C" w:rsidRDefault="00B8734F" w:rsidP="00B8734F">
                  <w:pPr>
                    <w:jc w:val="right"/>
                    <w:rPr>
                      <w:rFonts w:ascii="Times New Roman" w:hAnsi="Times New Roman" w:cs="Times New Roman"/>
                      <w:lang w:eastAsia="lt-LT"/>
                    </w:rPr>
                  </w:pPr>
                  <w:r w:rsidRPr="00942E0C">
                    <w:rPr>
                      <w:rFonts w:ascii="Times New Roman" w:hAnsi="Times New Roman" w:cs="Times New Roman"/>
                      <w:lang w:eastAsia="lt-LT"/>
                    </w:rPr>
                    <w:t>144,09</w:t>
                  </w:r>
                </w:p>
              </w:tc>
            </w:tr>
            <w:tr w:rsidR="00B8734F" w:rsidRPr="00942E0C" w14:paraId="7CDB568D" w14:textId="77777777" w:rsidTr="00197E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C3B8BE" w14:textId="77777777" w:rsidR="00B8734F" w:rsidRPr="00942E0C" w:rsidRDefault="00B8734F" w:rsidP="00B8734F">
                  <w:pPr>
                    <w:rPr>
                      <w:rFonts w:ascii="Times New Roman" w:hAnsi="Times New Roman" w:cs="Times New Roman"/>
                      <w:lang w:eastAsia="lt-LT"/>
                    </w:rPr>
                  </w:pPr>
                  <w:r w:rsidRPr="00942E0C">
                    <w:rPr>
                      <w:rFonts w:ascii="Times New Roman" w:hAnsi="Times New Roman" w:cs="Times New Roman"/>
                      <w:b/>
                      <w:bCs/>
                      <w:lang w:eastAsia="lt-LT"/>
                    </w:rPr>
                    <w:t>Iš viso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930326" w14:textId="77777777" w:rsidR="00B8734F" w:rsidRPr="00942E0C" w:rsidRDefault="00B8734F" w:rsidP="00B8734F">
                  <w:pPr>
                    <w:jc w:val="right"/>
                    <w:rPr>
                      <w:rFonts w:ascii="Times New Roman" w:hAnsi="Times New Roman" w:cs="Times New Roman"/>
                      <w:lang w:eastAsia="lt-LT"/>
                    </w:rPr>
                  </w:pPr>
                  <w:r w:rsidRPr="00942E0C">
                    <w:rPr>
                      <w:rFonts w:ascii="Times New Roman" w:hAnsi="Times New Roman" w:cs="Times New Roman"/>
                      <w:b/>
                      <w:bCs/>
                      <w:lang w:eastAsia="lt-LT"/>
                    </w:rPr>
                    <w:t>231,27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ECB681" w14:textId="77777777" w:rsidR="00B8734F" w:rsidRPr="00942E0C" w:rsidRDefault="00B8734F" w:rsidP="00B8734F">
                  <w:pPr>
                    <w:jc w:val="right"/>
                    <w:rPr>
                      <w:rFonts w:ascii="Times New Roman" w:hAnsi="Times New Roman" w:cs="Times New Roman"/>
                      <w:lang w:eastAsia="lt-LT"/>
                    </w:rPr>
                  </w:pPr>
                  <w:r w:rsidRPr="00942E0C">
                    <w:rPr>
                      <w:rFonts w:ascii="Times New Roman" w:hAnsi="Times New Roman" w:cs="Times New Roman"/>
                      <w:b/>
                      <w:bCs/>
                      <w:lang w:eastAsia="lt-LT"/>
                    </w:rPr>
                    <w:t>90,00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222358" w14:textId="77777777" w:rsidR="00B8734F" w:rsidRPr="00942E0C" w:rsidRDefault="00B8734F" w:rsidP="00B8734F">
                  <w:pPr>
                    <w:jc w:val="right"/>
                    <w:rPr>
                      <w:rFonts w:ascii="Times New Roman" w:hAnsi="Times New Roman" w:cs="Times New Roman"/>
                      <w:lang w:eastAsia="lt-LT"/>
                    </w:rPr>
                  </w:pPr>
                  <w:r w:rsidRPr="00942E0C">
                    <w:rPr>
                      <w:rFonts w:ascii="Times New Roman" w:hAnsi="Times New Roman" w:cs="Times New Roman"/>
                      <w:b/>
                      <w:bCs/>
                      <w:lang w:eastAsia="lt-LT"/>
                    </w:rPr>
                    <w:t>111,00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B2AE73" w14:textId="77777777" w:rsidR="00B8734F" w:rsidRPr="00942E0C" w:rsidRDefault="00B8734F" w:rsidP="00B8734F">
                  <w:pPr>
                    <w:jc w:val="right"/>
                    <w:rPr>
                      <w:rFonts w:ascii="Times New Roman" w:hAnsi="Times New Roman" w:cs="Times New Roman"/>
                      <w:lang w:eastAsia="lt-LT"/>
                    </w:rPr>
                  </w:pPr>
                  <w:r w:rsidRPr="00942E0C">
                    <w:rPr>
                      <w:rFonts w:ascii="Times New Roman" w:hAnsi="Times New Roman" w:cs="Times New Roman"/>
                      <w:b/>
                      <w:bCs/>
                      <w:lang w:eastAsia="lt-LT"/>
                    </w:rPr>
                    <w:t>432,27</w:t>
                  </w:r>
                </w:p>
              </w:tc>
            </w:tr>
          </w:tbl>
          <w:p w14:paraId="21E84802" w14:textId="43A7E064" w:rsidR="00B8734F" w:rsidRPr="00B8734F" w:rsidRDefault="00B8734F" w:rsidP="00B8734F">
            <w:pPr>
              <w:widowControl/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lang w:eastAsia="en-US"/>
                <w14:ligatures w14:val="standardContextual"/>
              </w:rPr>
            </w:pPr>
          </w:p>
        </w:tc>
      </w:tr>
      <w:tr w:rsidR="00F23149" w:rsidRPr="002A7BEE" w14:paraId="28AAC19C" w14:textId="77777777" w:rsidTr="00197E2B">
        <w:tc>
          <w:tcPr>
            <w:tcW w:w="9854" w:type="dxa"/>
          </w:tcPr>
          <w:p w14:paraId="35A8D2C6" w14:textId="77777777" w:rsidR="00F23149" w:rsidRPr="002A7BEE" w:rsidRDefault="00F23149" w:rsidP="00197E2B">
            <w:pPr>
              <w:ind w:firstLine="540"/>
              <w:rPr>
                <w:rFonts w:ascii="Times New Roman" w:hAnsi="Times New Roman" w:cs="Times New Roman"/>
                <w:szCs w:val="20"/>
              </w:rPr>
            </w:pPr>
            <w:r w:rsidRPr="002A7BEE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8. Projekto autorius ar autorių grupė.</w:t>
            </w:r>
          </w:p>
        </w:tc>
      </w:tr>
      <w:tr w:rsidR="00F23149" w:rsidRPr="002A7BEE" w14:paraId="5254F237" w14:textId="77777777" w:rsidTr="00197E2B">
        <w:tc>
          <w:tcPr>
            <w:tcW w:w="9854" w:type="dxa"/>
          </w:tcPr>
          <w:p w14:paraId="39D242AE" w14:textId="77777777" w:rsidR="00F23149" w:rsidRPr="002A7BEE" w:rsidRDefault="00F23149" w:rsidP="00197E2B">
            <w:pPr>
              <w:ind w:firstLine="596"/>
              <w:jc w:val="both"/>
              <w:rPr>
                <w:rFonts w:ascii="Times New Roman" w:hAnsi="Times New Roman" w:cs="Times New Roman"/>
                <w:szCs w:val="20"/>
              </w:rPr>
            </w:pPr>
            <w:r w:rsidRPr="00833DE7">
              <w:rPr>
                <w:rFonts w:ascii="Times New Roman" w:hAnsi="Times New Roman" w:cs="Times New Roman"/>
                <w:szCs w:val="20"/>
              </w:rPr>
              <w:t>Planavimo ir plėtros skyriaus vyriausioji specialistė Judita Jakienė</w:t>
            </w:r>
          </w:p>
        </w:tc>
      </w:tr>
      <w:tr w:rsidR="00F23149" w:rsidRPr="002A7BEE" w14:paraId="7BC130C9" w14:textId="77777777" w:rsidTr="00197E2B">
        <w:tc>
          <w:tcPr>
            <w:tcW w:w="9854" w:type="dxa"/>
          </w:tcPr>
          <w:p w14:paraId="1FDCFC21" w14:textId="77777777" w:rsidR="00F23149" w:rsidRPr="002A7BEE" w:rsidRDefault="00F23149" w:rsidP="00197E2B">
            <w:pPr>
              <w:ind w:firstLine="540"/>
              <w:jc w:val="both"/>
              <w:rPr>
                <w:rFonts w:ascii="Times New Roman" w:hAnsi="Times New Roman" w:cs="Times New Roman"/>
                <w:szCs w:val="20"/>
              </w:rPr>
            </w:pPr>
            <w:r w:rsidRPr="002A7BEE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9. Reikšminiai projekto žodžiai, kurių reikia šiam projektui įtraukti į kompiuterinę paieškos sistemą.</w:t>
            </w:r>
          </w:p>
        </w:tc>
      </w:tr>
      <w:tr w:rsidR="00F23149" w:rsidRPr="002A7BEE" w14:paraId="7C58855D" w14:textId="77777777" w:rsidTr="00197E2B">
        <w:tc>
          <w:tcPr>
            <w:tcW w:w="9854" w:type="dxa"/>
          </w:tcPr>
          <w:p w14:paraId="3D799511" w14:textId="488F8394" w:rsidR="00F23149" w:rsidRPr="001E03CB" w:rsidRDefault="00F23149" w:rsidP="00197E2B">
            <w:pPr>
              <w:ind w:firstLine="54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Bažnyčia; tvarkybos darbai</w:t>
            </w:r>
            <w:r w:rsidR="00BE0344">
              <w:rPr>
                <w:rFonts w:ascii="Times New Roman" w:hAnsi="Times New Roman" w:cs="Times New Roman"/>
                <w:szCs w:val="20"/>
              </w:rPr>
              <w:t xml:space="preserve">; kultūros paveldas. </w:t>
            </w:r>
          </w:p>
        </w:tc>
      </w:tr>
      <w:tr w:rsidR="00F23149" w:rsidRPr="002A7BEE" w14:paraId="28F3696C" w14:textId="77777777" w:rsidTr="00197E2B">
        <w:tc>
          <w:tcPr>
            <w:tcW w:w="9854" w:type="dxa"/>
          </w:tcPr>
          <w:p w14:paraId="6B0138F8" w14:textId="77777777" w:rsidR="00F23149" w:rsidRPr="002A7BEE" w:rsidRDefault="00F23149" w:rsidP="00197E2B">
            <w:pPr>
              <w:ind w:firstLine="540"/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</w:pPr>
            <w:r w:rsidRPr="002A7BEE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10. Kiti, autorių nuomone, reikalingi pagrindimai ir paaiškinimai.</w:t>
            </w:r>
          </w:p>
        </w:tc>
      </w:tr>
      <w:tr w:rsidR="00F23149" w:rsidRPr="002A7BEE" w14:paraId="7CAC8DA7" w14:textId="77777777" w:rsidTr="00197E2B">
        <w:tc>
          <w:tcPr>
            <w:tcW w:w="9854" w:type="dxa"/>
          </w:tcPr>
          <w:p w14:paraId="739D82B7" w14:textId="67B50765" w:rsidR="00F23149" w:rsidRPr="002A7BEE" w:rsidRDefault="00F23149" w:rsidP="00197E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5424A1D7" w14:textId="77777777" w:rsidR="001774BB" w:rsidRDefault="001774BB">
      <w:pPr>
        <w:rPr>
          <w:sz w:val="22"/>
          <w:szCs w:val="22"/>
        </w:rPr>
      </w:pPr>
    </w:p>
    <w:p w14:paraId="1D5F8DA4" w14:textId="77777777" w:rsidR="00F23149" w:rsidRDefault="00F23149">
      <w:pPr>
        <w:rPr>
          <w:sz w:val="22"/>
          <w:szCs w:val="22"/>
        </w:rPr>
      </w:pPr>
    </w:p>
    <w:p w14:paraId="670D7D23" w14:textId="77777777" w:rsidR="00F23149" w:rsidRPr="00F23149" w:rsidRDefault="00F23149" w:rsidP="00F23149">
      <w:pPr>
        <w:widowControl/>
        <w:suppressAutoHyphens w:val="0"/>
        <w:ind w:left="283" w:hanging="283"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F23149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Planavimo ir plėtros skyriaus vyriausioji specialistė                                                        Judita Jakienė</w:t>
      </w:r>
    </w:p>
    <w:p w14:paraId="525B9B8E" w14:textId="77777777" w:rsidR="00F23149" w:rsidRPr="00847C5F" w:rsidRDefault="00F23149">
      <w:pPr>
        <w:rPr>
          <w:sz w:val="22"/>
          <w:szCs w:val="22"/>
        </w:rPr>
      </w:pPr>
    </w:p>
    <w:sectPr w:rsidR="00F23149" w:rsidRPr="00847C5F" w:rsidSect="00AC3B8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94A7" w14:textId="77777777" w:rsidR="00123D89" w:rsidRDefault="00123D89">
      <w:r>
        <w:separator/>
      </w:r>
    </w:p>
  </w:endnote>
  <w:endnote w:type="continuationSeparator" w:id="0">
    <w:p w14:paraId="79319D88" w14:textId="77777777" w:rsidR="00123D89" w:rsidRDefault="0012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E75A9" w14:textId="77777777" w:rsidR="00123D89" w:rsidRDefault="00123D89">
      <w:r>
        <w:separator/>
      </w:r>
    </w:p>
  </w:footnote>
  <w:footnote w:type="continuationSeparator" w:id="0">
    <w:p w14:paraId="15E025A8" w14:textId="77777777" w:rsidR="00123D89" w:rsidRDefault="00123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2493800"/>
      <w:docPartObj>
        <w:docPartGallery w:val="Page Numbers (Top of Page)"/>
        <w:docPartUnique/>
      </w:docPartObj>
    </w:sdtPr>
    <w:sdtContent>
      <w:p w14:paraId="502F8243" w14:textId="77CE5ED2" w:rsidR="00AC3B8B" w:rsidRDefault="00AC3B8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2864B1" w14:textId="77777777" w:rsidR="00AC3B8B" w:rsidRDefault="00AC3B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F30AA"/>
    <w:multiLevelType w:val="multilevel"/>
    <w:tmpl w:val="5FB4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C26F2"/>
    <w:multiLevelType w:val="hybridMultilevel"/>
    <w:tmpl w:val="FEDAA15C"/>
    <w:lvl w:ilvl="0" w:tplc="5A3AF05E">
      <w:start w:val="1"/>
      <w:numFmt w:val="bullet"/>
      <w:lvlText w:val="–"/>
      <w:lvlJc w:val="left"/>
      <w:pPr>
        <w:ind w:left="94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 w16cid:durableId="2137792256">
    <w:abstractNumId w:val="1"/>
  </w:num>
  <w:num w:numId="2" w16cid:durableId="53485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F30"/>
    <w:rsid w:val="0003484F"/>
    <w:rsid w:val="00034969"/>
    <w:rsid w:val="0005524B"/>
    <w:rsid w:val="00081BCD"/>
    <w:rsid w:val="00084B55"/>
    <w:rsid w:val="000C0656"/>
    <w:rsid w:val="000C7E82"/>
    <w:rsid w:val="000D6FAF"/>
    <w:rsid w:val="000F244F"/>
    <w:rsid w:val="00123D89"/>
    <w:rsid w:val="001739E7"/>
    <w:rsid w:val="001774BB"/>
    <w:rsid w:val="001D169D"/>
    <w:rsid w:val="001F6CBD"/>
    <w:rsid w:val="00220DFC"/>
    <w:rsid w:val="002B2ABA"/>
    <w:rsid w:val="00331C24"/>
    <w:rsid w:val="00337F30"/>
    <w:rsid w:val="00373471"/>
    <w:rsid w:val="00390CDE"/>
    <w:rsid w:val="003B0F4A"/>
    <w:rsid w:val="003F20F4"/>
    <w:rsid w:val="00427046"/>
    <w:rsid w:val="00493347"/>
    <w:rsid w:val="004A054B"/>
    <w:rsid w:val="004B1EDD"/>
    <w:rsid w:val="004C439D"/>
    <w:rsid w:val="004D7258"/>
    <w:rsid w:val="005010DB"/>
    <w:rsid w:val="00512269"/>
    <w:rsid w:val="0051492D"/>
    <w:rsid w:val="00550F72"/>
    <w:rsid w:val="0055260A"/>
    <w:rsid w:val="005571EA"/>
    <w:rsid w:val="005B5766"/>
    <w:rsid w:val="005B5A3F"/>
    <w:rsid w:val="005C37F4"/>
    <w:rsid w:val="005F69C6"/>
    <w:rsid w:val="0060757E"/>
    <w:rsid w:val="00614CA8"/>
    <w:rsid w:val="007302F9"/>
    <w:rsid w:val="00757DC9"/>
    <w:rsid w:val="0077207F"/>
    <w:rsid w:val="007C47D5"/>
    <w:rsid w:val="007F19C4"/>
    <w:rsid w:val="00824BE3"/>
    <w:rsid w:val="00847C5F"/>
    <w:rsid w:val="008841F9"/>
    <w:rsid w:val="008868C7"/>
    <w:rsid w:val="008B7087"/>
    <w:rsid w:val="008C02C5"/>
    <w:rsid w:val="008D1E5A"/>
    <w:rsid w:val="00904D8C"/>
    <w:rsid w:val="009129E0"/>
    <w:rsid w:val="0095110F"/>
    <w:rsid w:val="009530F8"/>
    <w:rsid w:val="00953D4E"/>
    <w:rsid w:val="0099460B"/>
    <w:rsid w:val="009C12EA"/>
    <w:rsid w:val="009E1375"/>
    <w:rsid w:val="009F4ECE"/>
    <w:rsid w:val="00A20023"/>
    <w:rsid w:val="00A25773"/>
    <w:rsid w:val="00A5257F"/>
    <w:rsid w:val="00A6254A"/>
    <w:rsid w:val="00AA102A"/>
    <w:rsid w:val="00AB71B0"/>
    <w:rsid w:val="00AC3B8B"/>
    <w:rsid w:val="00AD663F"/>
    <w:rsid w:val="00B10C97"/>
    <w:rsid w:val="00B1306D"/>
    <w:rsid w:val="00B24F07"/>
    <w:rsid w:val="00B64873"/>
    <w:rsid w:val="00B8734F"/>
    <w:rsid w:val="00BA4046"/>
    <w:rsid w:val="00BB12ED"/>
    <w:rsid w:val="00BD7F35"/>
    <w:rsid w:val="00BE0344"/>
    <w:rsid w:val="00C0597D"/>
    <w:rsid w:val="00C116B0"/>
    <w:rsid w:val="00C40E37"/>
    <w:rsid w:val="00C733E3"/>
    <w:rsid w:val="00C76ECC"/>
    <w:rsid w:val="00C87304"/>
    <w:rsid w:val="00CA3668"/>
    <w:rsid w:val="00CE294D"/>
    <w:rsid w:val="00D7532B"/>
    <w:rsid w:val="00D94D76"/>
    <w:rsid w:val="00DE0DD4"/>
    <w:rsid w:val="00E210DE"/>
    <w:rsid w:val="00E231E1"/>
    <w:rsid w:val="00E27A26"/>
    <w:rsid w:val="00E64AA2"/>
    <w:rsid w:val="00EA5C24"/>
    <w:rsid w:val="00F05BAA"/>
    <w:rsid w:val="00F23149"/>
    <w:rsid w:val="00FE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6DD4"/>
  <w15:chartTrackingRefBased/>
  <w15:docId w15:val="{68A7DB0A-EF4A-44F3-A002-300B0D41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7F30"/>
    <w:pPr>
      <w:widowControl w:val="0"/>
      <w:suppressAutoHyphens/>
      <w:spacing w:after="0" w:line="240" w:lineRule="auto"/>
    </w:pPr>
    <w:rPr>
      <w:rFonts w:ascii="Thorndale" w:eastAsia="Times New Roman" w:hAnsi="Thorndale" w:cs="Tahoma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4F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4F07"/>
    <w:rPr>
      <w:rFonts w:ascii="Segoe UI" w:eastAsia="Times New Roman" w:hAnsi="Segoe UI" w:cs="Segoe UI"/>
      <w:sz w:val="18"/>
      <w:szCs w:val="18"/>
      <w:lang w:eastAsia="zh-CN"/>
    </w:rPr>
  </w:style>
  <w:style w:type="paragraph" w:styleId="Pataisymai">
    <w:name w:val="Revision"/>
    <w:hidden/>
    <w:uiPriority w:val="99"/>
    <w:semiHidden/>
    <w:rsid w:val="00FE37DB"/>
    <w:pPr>
      <w:spacing w:after="0" w:line="240" w:lineRule="auto"/>
    </w:pPr>
    <w:rPr>
      <w:rFonts w:ascii="Thorndale" w:eastAsia="Times New Roman" w:hAnsi="Thorndale" w:cs="Tahoma"/>
      <w:sz w:val="24"/>
      <w:szCs w:val="24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F05BA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5BAA"/>
    <w:rPr>
      <w:rFonts w:ascii="Thorndale" w:eastAsia="Times New Roman" w:hAnsi="Thorndale" w:cs="Tahoma"/>
      <w:sz w:val="24"/>
      <w:szCs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F05BA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BAA"/>
    <w:rPr>
      <w:rFonts w:ascii="Thorndale" w:eastAsia="Times New Roman" w:hAnsi="Thorndale" w:cs="Tahoma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F2314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231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231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231E1"/>
    <w:rPr>
      <w:rFonts w:ascii="Thorndale" w:eastAsia="Times New Roman" w:hAnsi="Thorndale" w:cs="Tahoma"/>
      <w:sz w:val="20"/>
      <w:szCs w:val="20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231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231E1"/>
    <w:rPr>
      <w:rFonts w:ascii="Thorndale" w:eastAsia="Times New Roman" w:hAnsi="Thorndale" w:cs="Tahom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2749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Info_RB</dc:creator>
  <cp:keywords/>
  <dc:description/>
  <cp:lastModifiedBy>Asta Jagelavičienė</cp:lastModifiedBy>
  <cp:revision>56</cp:revision>
  <cp:lastPrinted>2025-04-09T05:14:00Z</cp:lastPrinted>
  <dcterms:created xsi:type="dcterms:W3CDTF">2025-04-08T08:20:00Z</dcterms:created>
  <dcterms:modified xsi:type="dcterms:W3CDTF">2026-06-11T11:36:00Z</dcterms:modified>
</cp:coreProperties>
</file>